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color w:val="1F4E79"/>
          <w:sz w:val="36"/>
        </w:rPr>
        <w:t>Al Noor Office Building — Project Recovery Pack</w:t>
      </w:r>
    </w:p>
    <w:p>
      <w:pPr>
        <w:jc w:val="center"/>
      </w:pPr>
      <w:r>
        <w:rPr>
          <w:i/>
        </w:rPr>
        <w:t>Prepared from supplied project brief, schedule, cost, procurement, risks, meeting notes, and client change request.</w:t>
      </w:r>
    </w:p>
    <w:p>
      <w:pPr>
        <w:pStyle w:val="Heading1"/>
      </w:pPr>
      <w:r>
        <w:t>Assumptions</w:t>
      </w:r>
    </w:p>
    <w:p>
      <w:pPr>
        <w:pStyle w:val="ListBullet"/>
      </w:pPr>
      <w:r>
        <w:t>Current baseline completion is 21 September 2027 against the contractual target of 31 August 2027: 21 calendar days late.</w:t>
      </w:r>
    </w:p>
    <w:p>
      <w:pPr>
        <w:pStyle w:val="ListBullet"/>
      </w:pPr>
      <w:r>
        <w:t>No approval is assumed for CR-001 conference center or CR-002 façade upgrade; their schedule/cost effects are shown as potential exposure only.</w:t>
      </w:r>
    </w:p>
    <w:p>
      <w:pPr>
        <w:pStyle w:val="ListBullet"/>
      </w:pPr>
      <w:r>
        <w:t>CR-003 generator is treated as a recommended recovery action, not an approved cost, unless management/client approval is confirmed.</w:t>
      </w:r>
    </w:p>
    <w:p>
      <w:pPr>
        <w:pStyle w:val="ListBullet"/>
      </w:pPr>
      <w:r>
        <w:t>Cost plan forecast final cost of USD 5.017m is the base forecast before unapproved change approvals unless already explicitly included in the cost plan comments.</w:t>
      </w:r>
    </w:p>
    <w:p>
      <w:pPr>
        <w:pStyle w:val="ListBullet"/>
      </w:pPr>
      <w:r>
        <w:t>Working calendar is assumed as 6 days/week, Sunday off as shown in the project overview.</w:t>
      </w:r>
    </w:p>
    <w:p>
      <w:pPr>
        <w:pStyle w:val="Heading1"/>
      </w:pPr>
      <w:r>
        <w:t>1. Concise Project Situation Assessment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3552"/>
        <w:gridCol w:w="3552"/>
        <w:gridCol w:w="3552"/>
      </w:tblGrid>
      <w:tr>
        <w:tc>
          <w:tcPr>
            <w:tcW w:type="dxa" w:w="1584"/>
            <w:shd w:fill="1F4E79"/>
          </w:tcPr>
          <w:p>
            <w:r/>
            <w:r>
              <w:rPr>
                <w:b/>
                <w:color w:val="FFFFFF"/>
                <w:sz w:val="17"/>
              </w:rPr>
              <w:t>Area</w:t>
            </w:r>
          </w:p>
        </w:tc>
        <w:tc>
          <w:tcPr>
            <w:tcW w:type="dxa" w:w="1152"/>
            <w:shd w:fill="1F4E79"/>
          </w:tcPr>
          <w:p>
            <w:r/>
            <w:r>
              <w:rPr>
                <w:b/>
                <w:color w:val="FFFFFF"/>
                <w:sz w:val="17"/>
              </w:rPr>
              <w:t>Status</w:t>
            </w:r>
          </w:p>
        </w:tc>
        <w:tc>
          <w:tcPr>
            <w:tcW w:type="dxa" w:w="8352"/>
            <w:shd w:fill="1F4E79"/>
          </w:tcPr>
          <w:p>
            <w:r/>
            <w:r>
              <w:rPr>
                <w:b/>
                <w:color w:val="FFFFFF"/>
                <w:sz w:val="17"/>
              </w:rPr>
              <w:t>Assessment</w:t>
            </w:r>
          </w:p>
        </w:tc>
      </w:tr>
      <w:tr>
        <w:tc>
          <w:tcPr>
            <w:tcW w:type="dxa" w:w="1584"/>
            <w:vAlign w:val="top"/>
          </w:tcPr>
          <w:p>
            <w:r/>
            <w:r>
              <w:rPr>
                <w:b w:val="0"/>
                <w:sz w:val="17"/>
              </w:rPr>
              <w:t>Schedule</w:t>
            </w:r>
          </w:p>
        </w:tc>
        <w:tc>
          <w:tcPr>
            <w:tcW w:type="dxa" w:w="1152"/>
            <w:vAlign w:val="top"/>
          </w:tcPr>
          <w:p>
            <w:r/>
            <w:r>
              <w:rPr>
                <w:b w:val="0"/>
                <w:sz w:val="17"/>
              </w:rPr>
              <w:t>Amber/Red</w:t>
            </w:r>
          </w:p>
        </w:tc>
        <w:tc>
          <w:tcPr>
            <w:tcW w:type="dxa" w:w="8352"/>
            <w:vAlign w:val="top"/>
          </w:tcPr>
          <w:p>
            <w:r/>
            <w:r>
              <w:rPr>
                <w:b w:val="0"/>
                <w:sz w:val="17"/>
              </w:rPr>
              <w:t>The project is already forecasting handover on 21 Sep 2027, 21 days beyond the 31 Aug 2027 contractual target. Mobilization is 80% complete; temporary power is 8 days late but a generator can recover about 4 days.</w:t>
            </w:r>
          </w:p>
        </w:tc>
      </w:tr>
      <w:tr>
        <w:tc>
          <w:tcPr>
            <w:tcW w:type="dxa" w:w="1584"/>
            <w:vAlign w:val="top"/>
          </w:tcPr>
          <w:p>
            <w:r/>
            <w:r>
              <w:rPr>
                <w:b w:val="0"/>
                <w:sz w:val="17"/>
              </w:rPr>
              <w:t>Cost</w:t>
            </w:r>
          </w:p>
        </w:tc>
        <w:tc>
          <w:tcPr>
            <w:tcW w:type="dxa" w:w="1152"/>
            <w:vAlign w:val="top"/>
          </w:tcPr>
          <w:p>
            <w:r/>
            <w:r>
              <w:rPr>
                <w:b w:val="0"/>
                <w:sz w:val="17"/>
              </w:rPr>
              <w:t>Amber/Red</w:t>
            </w:r>
          </w:p>
        </w:tc>
        <w:tc>
          <w:tcPr>
            <w:tcW w:type="dxa" w:w="8352"/>
            <w:vAlign w:val="top"/>
          </w:tcPr>
          <w:p>
            <w:r/>
            <w:r>
              <w:rPr>
                <w:b w:val="0"/>
                <w:sz w:val="17"/>
              </w:rPr>
              <w:t>Base forecast final cost is USD 5.017m vs USD 4.850m budget: USD 167k adverse, before unapproved change exposure. Remaining contingency is USD 45k.</w:t>
            </w:r>
          </w:p>
        </w:tc>
      </w:tr>
      <w:tr>
        <w:tc>
          <w:tcPr>
            <w:tcW w:type="dxa" w:w="1584"/>
            <w:vAlign w:val="top"/>
          </w:tcPr>
          <w:p>
            <w:r/>
            <w:r>
              <w:rPr>
                <w:b w:val="0"/>
                <w:sz w:val="17"/>
              </w:rPr>
              <w:t>Procurement</w:t>
            </w:r>
          </w:p>
        </w:tc>
        <w:tc>
          <w:tcPr>
            <w:tcW w:type="dxa" w:w="1152"/>
            <w:vAlign w:val="top"/>
          </w:tcPr>
          <w:p>
            <w:r/>
            <w:r>
              <w:rPr>
                <w:b w:val="0"/>
                <w:sz w:val="17"/>
              </w:rPr>
              <w:t>Red</w:t>
            </w:r>
          </w:p>
        </w:tc>
        <w:tc>
          <w:tcPr>
            <w:tcW w:type="dxa" w:w="8352"/>
            <w:vAlign w:val="top"/>
          </w:tcPr>
          <w:p>
            <w:r/>
            <w:r>
              <w:rPr>
                <w:b w:val="0"/>
                <w:sz w:val="17"/>
              </w:rPr>
              <w:t>Façade, chillers/AHUs and elevators are critical long-lead packages. Façade production slot and chiller capacity decisions are immediate threats.</w:t>
            </w:r>
          </w:p>
        </w:tc>
      </w:tr>
      <w:tr>
        <w:tc>
          <w:tcPr>
            <w:tcW w:type="dxa" w:w="1584"/>
            <w:vAlign w:val="top"/>
          </w:tcPr>
          <w:p>
            <w:r/>
            <w:r>
              <w:rPr>
                <w:b w:val="0"/>
                <w:sz w:val="17"/>
              </w:rPr>
              <w:t>Design / Change</w:t>
            </w:r>
          </w:p>
        </w:tc>
        <w:tc>
          <w:tcPr>
            <w:tcW w:type="dxa" w:w="1152"/>
            <w:vAlign w:val="top"/>
          </w:tcPr>
          <w:p>
            <w:r/>
            <w:r>
              <w:rPr>
                <w:b w:val="0"/>
                <w:sz w:val="17"/>
              </w:rPr>
              <w:t>Red</w:t>
            </w:r>
          </w:p>
        </w:tc>
        <w:tc>
          <w:tcPr>
            <w:tcW w:type="dxa" w:w="8352"/>
            <w:vAlign w:val="top"/>
          </w:tcPr>
          <w:p>
            <w:r/>
            <w:r>
              <w:rPr>
                <w:b w:val="0"/>
                <w:sz w:val="17"/>
              </w:rPr>
              <w:t>Client request for Level 4 executive conference center adds potential 18 days and USD 145k; façade upgrade adds potential 7 days and USD 85k. Approvals are not yet confirmed.</w:t>
            </w:r>
          </w:p>
        </w:tc>
      </w:tr>
      <w:tr>
        <w:tc>
          <w:tcPr>
            <w:tcW w:type="dxa" w:w="1584"/>
            <w:vAlign w:val="top"/>
          </w:tcPr>
          <w:p>
            <w:r/>
            <w:r>
              <w:rPr>
                <w:b w:val="0"/>
                <w:sz w:val="17"/>
              </w:rPr>
              <w:t>Risk</w:t>
            </w:r>
          </w:p>
        </w:tc>
        <w:tc>
          <w:tcPr>
            <w:tcW w:type="dxa" w:w="1152"/>
            <w:vAlign w:val="top"/>
          </w:tcPr>
          <w:p>
            <w:r/>
            <w:r>
              <w:rPr>
                <w:b w:val="0"/>
                <w:sz w:val="17"/>
              </w:rPr>
              <w:t>Red</w:t>
            </w:r>
          </w:p>
        </w:tc>
        <w:tc>
          <w:tcPr>
            <w:tcW w:type="dxa" w:w="8352"/>
            <w:vAlign w:val="top"/>
          </w:tcPr>
          <w:p>
            <w:r/>
            <w:r>
              <w:rPr>
                <w:b w:val="0"/>
                <w:sz w:val="17"/>
              </w:rPr>
              <w:t>Critical risks/issues include late baseline, façade approval slot, temporary power, steel escalation, hard rock, MEP capacity freeze, finish decisions and commissioning readiness.</w:t>
            </w:r>
          </w:p>
        </w:tc>
      </w:tr>
    </w:tbl>
    <w:p>
      <w:pPr>
        <w:pStyle w:val="Heading1"/>
      </w:pPr>
      <w:r>
        <w:t>2. Revised Activity Plan — Activities Threatening Target Completion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131"/>
        <w:gridCol w:w="2131"/>
        <w:gridCol w:w="2131"/>
        <w:gridCol w:w="2131"/>
        <w:gridCol w:w="2131"/>
      </w:tblGrid>
      <w:tr>
        <w:tc>
          <w:tcPr>
            <w:tcW w:type="dxa" w:w="936"/>
            <w:shd w:fill="1F4E79"/>
          </w:tcPr>
          <w:p>
            <w:r/>
            <w:r>
              <w:rPr>
                <w:b/>
                <w:color w:val="FFFFFF"/>
                <w:sz w:val="17"/>
              </w:rPr>
              <w:t>ID</w:t>
            </w:r>
          </w:p>
        </w:tc>
        <w:tc>
          <w:tcPr>
            <w:tcW w:type="dxa" w:w="2232"/>
            <w:shd w:fill="1F4E79"/>
          </w:tcPr>
          <w:p>
            <w:r/>
            <w:r>
              <w:rPr>
                <w:b/>
                <w:color w:val="FFFFFF"/>
                <w:sz w:val="17"/>
              </w:rPr>
              <w:t>Activity</w:t>
            </w:r>
          </w:p>
        </w:tc>
        <w:tc>
          <w:tcPr>
            <w:tcW w:type="dxa" w:w="1584"/>
            <w:shd w:fill="1F4E79"/>
          </w:tcPr>
          <w:p>
            <w:r/>
            <w:r>
              <w:rPr>
                <w:b/>
                <w:color w:val="FFFFFF"/>
                <w:sz w:val="17"/>
              </w:rPr>
              <w:t>Current Finish / Window</w:t>
            </w:r>
          </w:p>
        </w:tc>
        <w:tc>
          <w:tcPr>
            <w:tcW w:type="dxa" w:w="1080"/>
            <w:shd w:fill="1F4E79"/>
          </w:tcPr>
          <w:p>
            <w:r/>
            <w:r>
              <w:rPr>
                <w:b/>
                <w:color w:val="FFFFFF"/>
                <w:sz w:val="17"/>
              </w:rPr>
              <w:t>Threat</w:t>
            </w:r>
          </w:p>
        </w:tc>
        <w:tc>
          <w:tcPr>
            <w:tcW w:type="dxa" w:w="6624"/>
            <w:shd w:fill="1F4E79"/>
          </w:tcPr>
          <w:p>
            <w:r/>
            <w:r>
              <w:rPr>
                <w:b/>
                <w:color w:val="FFFFFF"/>
                <w:sz w:val="17"/>
              </w:rPr>
              <w:t>Reason</w:t>
            </w:r>
          </w:p>
        </w:tc>
      </w:tr>
      <w:tr>
        <w:tc>
          <w:tcPr>
            <w:tcW w:type="dxa" w:w="936"/>
            <w:vAlign w:val="top"/>
          </w:tcPr>
          <w:p>
            <w:r/>
            <w:r>
              <w:rPr>
                <w:b w:val="0"/>
                <w:sz w:val="17"/>
              </w:rPr>
              <w:t>A002</w:t>
            </w:r>
          </w:p>
        </w:tc>
        <w:tc>
          <w:tcPr>
            <w:tcW w:type="dxa" w:w="2232"/>
            <w:vAlign w:val="top"/>
          </w:tcPr>
          <w:p>
            <w:r/>
            <w:r>
              <w:rPr>
                <w:b w:val="0"/>
                <w:sz w:val="17"/>
              </w:rPr>
              <w:t>Mobilize site and temporary facilities</w:t>
            </w:r>
          </w:p>
        </w:tc>
        <w:tc>
          <w:tcPr>
            <w:tcW w:type="dxa" w:w="1584"/>
            <w:vAlign w:val="top"/>
          </w:tcPr>
          <w:p>
            <w:r/>
            <w:r>
              <w:rPr>
                <w:b w:val="0"/>
                <w:sz w:val="17"/>
              </w:rPr>
              <w:t>18 Sep 2026</w:t>
            </w:r>
          </w:p>
        </w:tc>
        <w:tc>
          <w:tcPr>
            <w:tcW w:type="dxa" w:w="1080"/>
            <w:vAlign w:val="top"/>
          </w:tcPr>
          <w:p>
            <w:r/>
            <w:r>
              <w:rPr>
                <w:b w:val="0"/>
                <w:sz w:val="17"/>
              </w:rPr>
              <w:t>High</w:t>
            </w:r>
          </w:p>
        </w:tc>
        <w:tc>
          <w:tcPr>
            <w:tcW w:type="dxa" w:w="6624"/>
            <w:vAlign w:val="top"/>
          </w:tcPr>
          <w:p>
            <w:r/>
            <w:r>
              <w:rPr>
                <w:b w:val="0"/>
                <w:sz w:val="17"/>
              </w:rPr>
              <w:t>Temporary power connection 8 days late; generator can reduce delay by about 4 days.</w:t>
            </w:r>
          </w:p>
        </w:tc>
      </w:tr>
      <w:tr>
        <w:tc>
          <w:tcPr>
            <w:tcW w:type="dxa" w:w="936"/>
            <w:vAlign w:val="top"/>
          </w:tcPr>
          <w:p>
            <w:r/>
            <w:r>
              <w:rPr>
                <w:b w:val="0"/>
                <w:sz w:val="17"/>
              </w:rPr>
              <w:t>A004/A005</w:t>
            </w:r>
          </w:p>
        </w:tc>
        <w:tc>
          <w:tcPr>
            <w:tcW w:type="dxa" w:w="2232"/>
            <w:vAlign w:val="top"/>
          </w:tcPr>
          <w:p>
            <w:r/>
            <w:r>
              <w:rPr>
                <w:b w:val="0"/>
                <w:sz w:val="17"/>
              </w:rPr>
              <w:t>Bulk excavation / shoring and dewatering</w:t>
            </w:r>
          </w:p>
        </w:tc>
        <w:tc>
          <w:tcPr>
            <w:tcW w:type="dxa" w:w="1584"/>
            <w:vAlign w:val="top"/>
          </w:tcPr>
          <w:p>
            <w:r/>
            <w:r>
              <w:rPr>
                <w:b w:val="0"/>
                <w:sz w:val="17"/>
              </w:rPr>
              <w:t>10–17 Oct 2026 / 10–24 Oct 2026</w:t>
            </w:r>
          </w:p>
        </w:tc>
        <w:tc>
          <w:tcPr>
            <w:tcW w:type="dxa" w:w="1080"/>
            <w:vAlign w:val="top"/>
          </w:tcPr>
          <w:p>
            <w:r/>
            <w:r>
              <w:rPr>
                <w:b w:val="0"/>
                <w:sz w:val="17"/>
              </w:rPr>
              <w:t>High</w:t>
            </w:r>
          </w:p>
        </w:tc>
        <w:tc>
          <w:tcPr>
            <w:tcW w:type="dxa" w:w="6624"/>
            <w:vAlign w:val="top"/>
          </w:tcPr>
          <w:p>
            <w:r/>
            <w:r>
              <w:rPr>
                <w:b w:val="0"/>
                <w:sz w:val="17"/>
              </w:rPr>
              <w:t>Possible hard-rock layer at eastern excavation area may reduce productivity and affect start of blinding.</w:t>
            </w:r>
          </w:p>
        </w:tc>
      </w:tr>
      <w:tr>
        <w:tc>
          <w:tcPr>
            <w:tcW w:type="dxa" w:w="936"/>
            <w:vAlign w:val="top"/>
          </w:tcPr>
          <w:p>
            <w:r/>
            <w:r>
              <w:rPr>
                <w:b w:val="0"/>
                <w:sz w:val="17"/>
              </w:rPr>
              <w:t>A007–A015</w:t>
            </w:r>
          </w:p>
        </w:tc>
        <w:tc>
          <w:tcPr>
            <w:tcW w:type="dxa" w:w="2232"/>
            <w:vAlign w:val="top"/>
          </w:tcPr>
          <w:p>
            <w:r/>
            <w:r>
              <w:rPr>
                <w:b w:val="0"/>
                <w:sz w:val="17"/>
              </w:rPr>
              <w:t>Raft, basement and superstructure frame</w:t>
            </w:r>
          </w:p>
        </w:tc>
        <w:tc>
          <w:tcPr>
            <w:tcW w:type="dxa" w:w="1584"/>
            <w:vAlign w:val="top"/>
          </w:tcPr>
          <w:p>
            <w:r/>
            <w:r>
              <w:rPr>
                <w:b w:val="0"/>
                <w:sz w:val="17"/>
              </w:rPr>
              <w:t>29 Oct 2026–22 Mar 2027</w:t>
            </w:r>
          </w:p>
        </w:tc>
        <w:tc>
          <w:tcPr>
            <w:tcW w:type="dxa" w:w="1080"/>
            <w:vAlign w:val="top"/>
          </w:tcPr>
          <w:p>
            <w:r/>
            <w:r>
              <w:rPr>
                <w:b w:val="0"/>
                <w:sz w:val="17"/>
              </w:rPr>
              <w:t>High</w:t>
            </w:r>
          </w:p>
        </w:tc>
        <w:tc>
          <w:tcPr>
            <w:tcW w:type="dxa" w:w="6624"/>
            <w:vAlign w:val="top"/>
          </w:tcPr>
          <w:p>
            <w:r/>
            <w:r>
              <w:rPr>
                <w:b w:val="0"/>
                <w:sz w:val="17"/>
              </w:rPr>
              <w:t>Tower crane, steel fixers and concrete-pour logistics are shared/critical resources; structural path controls envelope and MEP access.</w:t>
            </w:r>
          </w:p>
        </w:tc>
      </w:tr>
      <w:tr>
        <w:tc>
          <w:tcPr>
            <w:tcW w:type="dxa" w:w="936"/>
            <w:vAlign w:val="top"/>
          </w:tcPr>
          <w:p>
            <w:r/>
            <w:r>
              <w:rPr>
                <w:b w:val="0"/>
                <w:sz w:val="17"/>
              </w:rPr>
              <w:t>A017</w:t>
            </w:r>
          </w:p>
        </w:tc>
        <w:tc>
          <w:tcPr>
            <w:tcW w:type="dxa" w:w="2232"/>
            <w:vAlign w:val="top"/>
          </w:tcPr>
          <w:p>
            <w:r/>
            <w:r>
              <w:rPr>
                <w:b w:val="0"/>
                <w:sz w:val="17"/>
              </w:rPr>
              <w:t>Façade and glazing</w:t>
            </w:r>
          </w:p>
        </w:tc>
        <w:tc>
          <w:tcPr>
            <w:tcW w:type="dxa" w:w="1584"/>
            <w:vAlign w:val="top"/>
          </w:tcPr>
          <w:p>
            <w:r/>
            <w:r>
              <w:rPr>
                <w:b w:val="0"/>
                <w:sz w:val="17"/>
              </w:rPr>
              <w:t>14 Mar–11 May 2027</w:t>
            </w:r>
          </w:p>
        </w:tc>
        <w:tc>
          <w:tcPr>
            <w:tcW w:type="dxa" w:w="1080"/>
            <w:vAlign w:val="top"/>
          </w:tcPr>
          <w:p>
            <w:r/>
            <w:r>
              <w:rPr>
                <w:b w:val="0"/>
                <w:sz w:val="17"/>
              </w:rPr>
              <w:t>Critical</w:t>
            </w:r>
          </w:p>
        </w:tc>
        <w:tc>
          <w:tcPr>
            <w:tcW w:type="dxa" w:w="6624"/>
            <w:vAlign w:val="top"/>
          </w:tcPr>
          <w:p>
            <w:r/>
            <w:r>
              <w:rPr>
                <w:b w:val="0"/>
                <w:sz w:val="17"/>
              </w:rPr>
              <w:t>Production slot requires early client decision; glazing upgrade can add 7 days and USD 85k exposure.</w:t>
            </w:r>
          </w:p>
        </w:tc>
      </w:tr>
      <w:tr>
        <w:tc>
          <w:tcPr>
            <w:tcW w:type="dxa" w:w="936"/>
            <w:vAlign w:val="top"/>
          </w:tcPr>
          <w:p>
            <w:r/>
            <w:r>
              <w:rPr>
                <w:b w:val="0"/>
                <w:sz w:val="17"/>
              </w:rPr>
              <w:t>A018/A022</w:t>
            </w:r>
          </w:p>
        </w:tc>
        <w:tc>
          <w:tcPr>
            <w:tcW w:type="dxa" w:w="2232"/>
            <w:vAlign w:val="top"/>
          </w:tcPr>
          <w:p>
            <w:r/>
            <w:r>
              <w:rPr>
                <w:b w:val="0"/>
                <w:sz w:val="17"/>
              </w:rPr>
              <w:t>MEP first fix / second fix and equipment</w:t>
            </w:r>
          </w:p>
        </w:tc>
        <w:tc>
          <w:tcPr>
            <w:tcW w:type="dxa" w:w="1584"/>
            <w:vAlign w:val="top"/>
          </w:tcPr>
          <w:p>
            <w:r/>
            <w:r>
              <w:rPr>
                <w:b w:val="0"/>
                <w:sz w:val="17"/>
              </w:rPr>
              <w:t>5 Jan–15 Aug 2027</w:t>
            </w:r>
          </w:p>
        </w:tc>
        <w:tc>
          <w:tcPr>
            <w:tcW w:type="dxa" w:w="1080"/>
            <w:vAlign w:val="top"/>
          </w:tcPr>
          <w:p>
            <w:r/>
            <w:r>
              <w:rPr>
                <w:b w:val="0"/>
                <w:sz w:val="17"/>
              </w:rPr>
              <w:t>Critical</w:t>
            </w:r>
          </w:p>
        </w:tc>
        <w:tc>
          <w:tcPr>
            <w:tcW w:type="dxa" w:w="6624"/>
            <w:vAlign w:val="top"/>
          </w:tcPr>
          <w:p>
            <w:r/>
            <w:r>
              <w:rPr>
                <w:b w:val="0"/>
                <w:sz w:val="17"/>
              </w:rPr>
              <w:t>Chiller capacity not frozen; chillers/AHUs are 150-day lead-time items.</w:t>
            </w:r>
          </w:p>
        </w:tc>
      </w:tr>
      <w:tr>
        <w:tc>
          <w:tcPr>
            <w:tcW w:type="dxa" w:w="936"/>
            <w:vAlign w:val="top"/>
          </w:tcPr>
          <w:p>
            <w:r/>
            <w:r>
              <w:rPr>
                <w:b w:val="0"/>
                <w:sz w:val="17"/>
              </w:rPr>
              <w:t>A021</w:t>
            </w:r>
          </w:p>
        </w:tc>
        <w:tc>
          <w:tcPr>
            <w:tcW w:type="dxa" w:w="2232"/>
            <w:vAlign w:val="top"/>
          </w:tcPr>
          <w:p>
            <w:r/>
            <w:r>
              <w:rPr>
                <w:b w:val="0"/>
                <w:sz w:val="17"/>
              </w:rPr>
              <w:t>Flooring, painting and joinery</w:t>
            </w:r>
          </w:p>
        </w:tc>
        <w:tc>
          <w:tcPr>
            <w:tcW w:type="dxa" w:w="1584"/>
            <w:vAlign w:val="top"/>
          </w:tcPr>
          <w:p>
            <w:r/>
            <w:r>
              <w:rPr>
                <w:b w:val="0"/>
                <w:sz w:val="17"/>
              </w:rPr>
              <w:t>9 Jul–12 Aug 2027</w:t>
            </w:r>
          </w:p>
        </w:tc>
        <w:tc>
          <w:tcPr>
            <w:tcW w:type="dxa" w:w="1080"/>
            <w:vAlign w:val="top"/>
          </w:tcPr>
          <w:p>
            <w:r/>
            <w:r>
              <w:rPr>
                <w:b w:val="0"/>
                <w:sz w:val="17"/>
              </w:rPr>
              <w:t>High</w:t>
            </w:r>
          </w:p>
        </w:tc>
        <w:tc>
          <w:tcPr>
            <w:tcW w:type="dxa" w:w="6624"/>
            <w:vAlign w:val="top"/>
          </w:tcPr>
          <w:p>
            <w:r/>
            <w:r>
              <w:rPr>
                <w:b w:val="0"/>
                <w:sz w:val="17"/>
              </w:rPr>
              <w:t>Compressed finish period; selections and room data sheets not frozen.</w:t>
            </w:r>
          </w:p>
        </w:tc>
      </w:tr>
      <w:tr>
        <w:tc>
          <w:tcPr>
            <w:tcW w:type="dxa" w:w="936"/>
            <w:vAlign w:val="top"/>
          </w:tcPr>
          <w:p>
            <w:r/>
            <w:r>
              <w:rPr>
                <w:b w:val="0"/>
                <w:sz w:val="17"/>
              </w:rPr>
              <w:t>A023</w:t>
            </w:r>
          </w:p>
        </w:tc>
        <w:tc>
          <w:tcPr>
            <w:tcW w:type="dxa" w:w="2232"/>
            <w:vAlign w:val="top"/>
          </w:tcPr>
          <w:p>
            <w:r/>
            <w:r>
              <w:rPr>
                <w:b w:val="0"/>
                <w:sz w:val="17"/>
              </w:rPr>
              <w:t>Testing and commissioning</w:t>
            </w:r>
          </w:p>
        </w:tc>
        <w:tc>
          <w:tcPr>
            <w:tcW w:type="dxa" w:w="1584"/>
            <w:vAlign w:val="top"/>
          </w:tcPr>
          <w:p>
            <w:r/>
            <w:r>
              <w:rPr>
                <w:b w:val="0"/>
                <w:sz w:val="17"/>
              </w:rPr>
              <w:t>13–30 Aug 2027</w:t>
            </w:r>
          </w:p>
        </w:tc>
        <w:tc>
          <w:tcPr>
            <w:tcW w:type="dxa" w:w="1080"/>
            <w:vAlign w:val="top"/>
          </w:tcPr>
          <w:p>
            <w:r/>
            <w:r>
              <w:rPr>
                <w:b w:val="0"/>
                <w:sz w:val="17"/>
              </w:rPr>
              <w:t>Critical</w:t>
            </w:r>
          </w:p>
        </w:tc>
        <w:tc>
          <w:tcPr>
            <w:tcW w:type="dxa" w:w="6624"/>
            <w:vAlign w:val="top"/>
          </w:tcPr>
          <w:p>
            <w:r/>
            <w:r>
              <w:rPr>
                <w:b w:val="0"/>
                <w:sz w:val="17"/>
              </w:rPr>
              <w:t>Finishes/MEP completion currently push commissioning beyond target unless overlapped or shortened.</w:t>
            </w:r>
          </w:p>
        </w:tc>
      </w:tr>
      <w:tr>
        <w:tc>
          <w:tcPr>
            <w:tcW w:type="dxa" w:w="936"/>
            <w:vAlign w:val="top"/>
          </w:tcPr>
          <w:p>
            <w:r/>
            <w:r>
              <w:rPr>
                <w:b w:val="0"/>
                <w:sz w:val="17"/>
              </w:rPr>
              <w:t>A025</w:t>
            </w:r>
          </w:p>
        </w:tc>
        <w:tc>
          <w:tcPr>
            <w:tcW w:type="dxa" w:w="2232"/>
            <w:vAlign w:val="top"/>
          </w:tcPr>
          <w:p>
            <w:r/>
            <w:r>
              <w:rPr>
                <w:b w:val="0"/>
                <w:sz w:val="17"/>
              </w:rPr>
              <w:t>Final inspection, snagging and handover</w:t>
            </w:r>
          </w:p>
        </w:tc>
        <w:tc>
          <w:tcPr>
            <w:tcW w:type="dxa" w:w="1584"/>
            <w:vAlign w:val="top"/>
          </w:tcPr>
          <w:p>
            <w:r/>
            <w:r>
              <w:rPr>
                <w:b w:val="0"/>
                <w:sz w:val="17"/>
              </w:rPr>
              <w:t>31 Aug–21 Sep 2027</w:t>
            </w:r>
          </w:p>
        </w:tc>
        <w:tc>
          <w:tcPr>
            <w:tcW w:type="dxa" w:w="1080"/>
            <w:vAlign w:val="top"/>
          </w:tcPr>
          <w:p>
            <w:r/>
            <w:r>
              <w:rPr>
                <w:b w:val="0"/>
                <w:sz w:val="17"/>
              </w:rPr>
              <w:t>Critical</w:t>
            </w:r>
          </w:p>
        </w:tc>
        <w:tc>
          <w:tcPr>
            <w:tcW w:type="dxa" w:w="6624"/>
            <w:vAlign w:val="top"/>
          </w:tcPr>
          <w:p>
            <w:r/>
            <w:r>
              <w:rPr>
                <w:b w:val="0"/>
                <w:sz w:val="17"/>
              </w:rPr>
              <w:t>Current handover is 21 days late; recovery must remove entire float deficit.</w:t>
            </w:r>
          </w:p>
        </w:tc>
      </w:tr>
    </w:tbl>
    <w:p>
      <w:pPr>
        <w:pStyle w:val="Heading1"/>
      </w:pPr>
      <w:r>
        <w:t>3. Recovery Strategy Options and Trade-Offs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131"/>
        <w:gridCol w:w="2131"/>
        <w:gridCol w:w="2131"/>
        <w:gridCol w:w="2131"/>
        <w:gridCol w:w="2131"/>
      </w:tblGrid>
      <w:tr>
        <w:tc>
          <w:tcPr>
            <w:tcW w:type="dxa" w:w="1512"/>
            <w:shd w:fill="1F4E79"/>
          </w:tcPr>
          <w:p>
            <w:r/>
            <w:r>
              <w:rPr>
                <w:b/>
                <w:color w:val="FFFFFF"/>
                <w:sz w:val="17"/>
              </w:rPr>
              <w:t>Option</w:t>
            </w:r>
          </w:p>
        </w:tc>
        <w:tc>
          <w:tcPr>
            <w:tcW w:type="dxa" w:w="3240"/>
            <w:shd w:fill="1F4E79"/>
          </w:tcPr>
          <w:p>
            <w:r/>
            <w:r>
              <w:rPr>
                <w:b/>
                <w:color w:val="FFFFFF"/>
                <w:sz w:val="17"/>
              </w:rPr>
              <w:t>Description</w:t>
            </w:r>
          </w:p>
        </w:tc>
        <w:tc>
          <w:tcPr>
            <w:tcW w:type="dxa" w:w="2232"/>
            <w:shd w:fill="1F4E79"/>
          </w:tcPr>
          <w:p>
            <w:r/>
            <w:r>
              <w:rPr>
                <w:b/>
                <w:color w:val="FFFFFF"/>
                <w:sz w:val="17"/>
              </w:rPr>
              <w:t>Benefits</w:t>
            </w:r>
          </w:p>
        </w:tc>
        <w:tc>
          <w:tcPr>
            <w:tcW w:type="dxa" w:w="2376"/>
            <w:shd w:fill="1F4E79"/>
          </w:tcPr>
          <w:p>
            <w:r/>
            <w:r>
              <w:rPr>
                <w:b/>
                <w:color w:val="FFFFFF"/>
                <w:sz w:val="17"/>
              </w:rPr>
              <w:t>Trade-offs</w:t>
            </w:r>
          </w:p>
        </w:tc>
        <w:tc>
          <w:tcPr>
            <w:tcW w:type="dxa" w:w="2088"/>
            <w:shd w:fill="1F4E79"/>
          </w:tcPr>
          <w:p>
            <w:r/>
            <w:r>
              <w:rPr>
                <w:b/>
                <w:color w:val="FFFFFF"/>
                <w:sz w:val="17"/>
              </w:rPr>
              <w:t>Recommendation</w:t>
            </w:r>
          </w:p>
        </w:tc>
      </w:tr>
      <w:tr>
        <w:tc>
          <w:tcPr>
            <w:tcW w:type="dxa" w:w="1512"/>
            <w:vAlign w:val="top"/>
          </w:tcPr>
          <w:p>
            <w:r/>
            <w:r>
              <w:rPr>
                <w:b w:val="0"/>
                <w:sz w:val="17"/>
              </w:rPr>
              <w:t>Option 1 — Controlled acceleration</w:t>
            </w:r>
          </w:p>
        </w:tc>
        <w:tc>
          <w:tcPr>
            <w:tcW w:type="dxa" w:w="3240"/>
            <w:vAlign w:val="top"/>
          </w:tcPr>
          <w:p>
            <w:r/>
            <w:r>
              <w:rPr>
                <w:b w:val="0"/>
                <w:sz w:val="17"/>
              </w:rPr>
              <w:t>Approve generator, resequence survey/excavation, overlap shoring/excavation, start façade submittals immediately, and overlap commissioning by zones.</w:t>
            </w:r>
          </w:p>
        </w:tc>
        <w:tc>
          <w:tcPr>
            <w:tcW w:type="dxa" w:w="2232"/>
            <w:vAlign w:val="top"/>
          </w:tcPr>
          <w:p>
            <w:r/>
            <w:r>
              <w:rPr>
                <w:b w:val="0"/>
                <w:sz w:val="17"/>
              </w:rPr>
              <w:t>Targets 21 days with lowest disruption; uses known USD 18k generator cost.</w:t>
            </w:r>
          </w:p>
        </w:tc>
        <w:tc>
          <w:tcPr>
            <w:tcW w:type="dxa" w:w="2376"/>
            <w:vAlign w:val="top"/>
          </w:tcPr>
          <w:p>
            <w:r/>
            <w:r>
              <w:rPr>
                <w:b w:val="0"/>
                <w:sz w:val="17"/>
              </w:rPr>
              <w:t>Limited margin; requires strict daily control and fast design/procurement decisions.</w:t>
            </w:r>
          </w:p>
        </w:tc>
        <w:tc>
          <w:tcPr>
            <w:tcW w:type="dxa" w:w="2088"/>
            <w:vAlign w:val="top"/>
          </w:tcPr>
          <w:p>
            <w:r/>
            <w:r>
              <w:rPr>
                <w:b w:val="0"/>
                <w:sz w:val="17"/>
              </w:rPr>
              <w:t>Recommended base recovery.</w:t>
            </w:r>
          </w:p>
        </w:tc>
      </w:tr>
      <w:tr>
        <w:tc>
          <w:tcPr>
            <w:tcW w:type="dxa" w:w="1512"/>
            <w:vAlign w:val="top"/>
          </w:tcPr>
          <w:p>
            <w:r/>
            <w:r>
              <w:rPr>
                <w:b w:val="0"/>
                <w:sz w:val="17"/>
              </w:rPr>
              <w:t>Option 2 — Intensive acceleration</w:t>
            </w:r>
          </w:p>
        </w:tc>
        <w:tc>
          <w:tcPr>
            <w:tcW w:type="dxa" w:w="3240"/>
            <w:vAlign w:val="top"/>
          </w:tcPr>
          <w:p>
            <w:r/>
            <w:r>
              <w:rPr>
                <w:b w:val="0"/>
                <w:sz w:val="17"/>
              </w:rPr>
              <w:t>Second shifts for structure/finishes, additional steel-fixer and finishing crews, weekend/night pours, expediting long-lead packages.</w:t>
            </w:r>
          </w:p>
        </w:tc>
        <w:tc>
          <w:tcPr>
            <w:tcW w:type="dxa" w:w="2232"/>
            <w:vAlign w:val="top"/>
          </w:tcPr>
          <w:p>
            <w:r/>
            <w:r>
              <w:rPr>
                <w:b w:val="0"/>
                <w:sz w:val="17"/>
              </w:rPr>
              <w:t>Higher probability of recovering 21+ days and absorbing some change impact.</w:t>
            </w:r>
          </w:p>
        </w:tc>
        <w:tc>
          <w:tcPr>
            <w:tcW w:type="dxa" w:w="2376"/>
            <w:vAlign w:val="top"/>
          </w:tcPr>
          <w:p>
            <w:r/>
            <w:r>
              <w:rPr>
                <w:b w:val="0"/>
                <w:sz w:val="17"/>
              </w:rPr>
              <w:t>Cost not fully priced in supplied files; higher safety, quality and neighbor-disruption risk.</w:t>
            </w:r>
          </w:p>
        </w:tc>
        <w:tc>
          <w:tcPr>
            <w:tcW w:type="dxa" w:w="2088"/>
            <w:vAlign w:val="top"/>
          </w:tcPr>
          <w:p>
            <w:r/>
            <w:r>
              <w:rPr>
                <w:b w:val="0"/>
                <w:sz w:val="17"/>
              </w:rPr>
              <w:t>Use only if Option 1 progress slips after two weeks.</w:t>
            </w:r>
          </w:p>
        </w:tc>
      </w:tr>
      <w:tr>
        <w:tc>
          <w:tcPr>
            <w:tcW w:type="dxa" w:w="1512"/>
            <w:vAlign w:val="top"/>
          </w:tcPr>
          <w:p>
            <w:r/>
            <w:r>
              <w:rPr>
                <w:b w:val="0"/>
                <w:sz w:val="17"/>
              </w:rPr>
              <w:t>Option 3 — Scope/decision protection</w:t>
            </w:r>
          </w:p>
        </w:tc>
        <w:tc>
          <w:tcPr>
            <w:tcW w:type="dxa" w:w="3240"/>
            <w:vAlign w:val="top"/>
          </w:tcPr>
          <w:p>
            <w:r/>
            <w:r>
              <w:rPr>
                <w:b w:val="0"/>
                <w:sz w:val="17"/>
              </w:rPr>
              <w:t>Defer Level 4 conference center to post-handover tenant fit-out; approve/reject façade upgrade by decision deadline; freeze chiller capacity and finish selections.</w:t>
            </w:r>
          </w:p>
        </w:tc>
        <w:tc>
          <w:tcPr>
            <w:tcW w:type="dxa" w:w="2232"/>
            <w:vAlign w:val="top"/>
          </w:tcPr>
          <w:p>
            <w:r/>
            <w:r>
              <w:rPr>
                <w:b w:val="0"/>
                <w:sz w:val="17"/>
              </w:rPr>
              <w:t>Protects contractual completion and avoids unapproved USD 230k change exposure.</w:t>
            </w:r>
          </w:p>
        </w:tc>
        <w:tc>
          <w:tcPr>
            <w:tcW w:type="dxa" w:w="2376"/>
            <w:vAlign w:val="top"/>
          </w:tcPr>
          <w:p>
            <w:r/>
            <w:r>
              <w:rPr>
                <w:b w:val="0"/>
                <w:sz w:val="17"/>
              </w:rPr>
              <w:t>Client may lose desired enhancement before opening; may require formal change control.</w:t>
            </w:r>
          </w:p>
        </w:tc>
        <w:tc>
          <w:tcPr>
            <w:tcW w:type="dxa" w:w="2088"/>
            <w:vAlign w:val="top"/>
          </w:tcPr>
          <w:p>
            <w:r/>
            <w:r>
              <w:rPr>
                <w:b w:val="0"/>
                <w:sz w:val="17"/>
              </w:rPr>
              <w:t>Recommended for unapproved changes unless client accepts time/cost impact.</w:t>
            </w:r>
          </w:p>
        </w:tc>
      </w:tr>
      <w:tr>
        <w:tc>
          <w:tcPr>
            <w:tcW w:type="dxa" w:w="1512"/>
            <w:vAlign w:val="top"/>
          </w:tcPr>
          <w:p>
            <w:r/>
            <w:r>
              <w:rPr>
                <w:b w:val="0"/>
                <w:sz w:val="17"/>
              </w:rPr>
              <w:t>Option 4 — Commercially managed change</w:t>
            </w:r>
          </w:p>
        </w:tc>
        <w:tc>
          <w:tcPr>
            <w:tcW w:type="dxa" w:w="3240"/>
            <w:vAlign w:val="top"/>
          </w:tcPr>
          <w:p>
            <w:r/>
            <w:r>
              <w:rPr>
                <w:b w:val="0"/>
                <w:sz w:val="17"/>
              </w:rPr>
              <w:t>Accept conference center and façade upgrade with formal extension of time and added cost; reserve procurement slots immediately.</w:t>
            </w:r>
          </w:p>
        </w:tc>
        <w:tc>
          <w:tcPr>
            <w:tcW w:type="dxa" w:w="2232"/>
            <w:vAlign w:val="top"/>
          </w:tcPr>
          <w:p>
            <w:r/>
            <w:r>
              <w:rPr>
                <w:b w:val="0"/>
                <w:sz w:val="17"/>
              </w:rPr>
              <w:t>Preserves upgraded scope and reduces procurement uncertainty.</w:t>
            </w:r>
          </w:p>
        </w:tc>
        <w:tc>
          <w:tcPr>
            <w:tcW w:type="dxa" w:w="2376"/>
            <w:vAlign w:val="top"/>
          </w:tcPr>
          <w:p>
            <w:r/>
            <w:r>
              <w:rPr>
                <w:b w:val="0"/>
                <w:sz w:val="17"/>
              </w:rPr>
              <w:t>Likely worsens completion beyond target unless combined with costly acceleration.</w:t>
            </w:r>
          </w:p>
        </w:tc>
        <w:tc>
          <w:tcPr>
            <w:tcW w:type="dxa" w:w="2088"/>
            <w:vAlign w:val="top"/>
          </w:tcPr>
          <w:p>
            <w:r/>
            <w:r>
              <w:rPr>
                <w:b w:val="0"/>
                <w:sz w:val="17"/>
              </w:rPr>
              <w:t>Only if client prioritizes enhanced scope over date/cost.</w:t>
            </w:r>
          </w:p>
        </w:tc>
      </w:tr>
    </w:tbl>
    <w:p>
      <w:pPr>
        <w:pStyle w:val="Heading1"/>
      </w:pPr>
      <w:r>
        <w:t>4. Cost Forecast and Largest Adverse Variances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3552"/>
        <w:gridCol w:w="3552"/>
        <w:gridCol w:w="3552"/>
      </w:tblGrid>
      <w:tr>
        <w:tc>
          <w:tcPr>
            <w:tcW w:type="dxa" w:w="2592"/>
            <w:shd w:fill="1F4E79"/>
          </w:tcPr>
          <w:p>
            <w:r/>
            <w:r>
              <w:rPr>
                <w:b/>
                <w:color w:val="FFFFFF"/>
                <w:sz w:val="17"/>
              </w:rPr>
              <w:t>Forecast item</w:t>
            </w:r>
          </w:p>
        </w:tc>
        <w:tc>
          <w:tcPr>
            <w:tcW w:type="dxa" w:w="2016"/>
            <w:shd w:fill="1F4E79"/>
          </w:tcPr>
          <w:p>
            <w:r/>
            <w:r>
              <w:rPr>
                <w:b/>
                <w:color w:val="FFFFFF"/>
                <w:sz w:val="17"/>
              </w:rPr>
              <w:t>Value</w:t>
            </w:r>
          </w:p>
        </w:tc>
        <w:tc>
          <w:tcPr>
            <w:tcW w:type="dxa" w:w="6912"/>
            <w:shd w:fill="1F4E79"/>
          </w:tcPr>
          <w:p>
            <w:r/>
            <w:r>
              <w:rPr>
                <w:b/>
                <w:color w:val="FFFFFF"/>
                <w:sz w:val="17"/>
              </w:rPr>
              <w:t>Comment</w:t>
            </w:r>
          </w:p>
        </w:tc>
      </w:tr>
      <w:tr>
        <w:tc>
          <w:tcPr>
            <w:tcW w:type="dxa" w:w="2592"/>
            <w:vAlign w:val="top"/>
          </w:tcPr>
          <w:p>
            <w:r/>
            <w:r>
              <w:rPr>
                <w:b w:val="0"/>
                <w:sz w:val="17"/>
              </w:rPr>
              <w:t>Base original budget</w:t>
            </w:r>
          </w:p>
        </w:tc>
        <w:tc>
          <w:tcPr>
            <w:tcW w:type="dxa" w:w="2016"/>
            <w:vAlign w:val="top"/>
          </w:tcPr>
          <w:p>
            <w:r/>
            <w:r>
              <w:rPr>
                <w:b w:val="0"/>
                <w:sz w:val="17"/>
              </w:rPr>
              <w:t>USD 4.850m</w:t>
            </w:r>
          </w:p>
        </w:tc>
        <w:tc>
          <w:tcPr>
            <w:tcW w:type="dxa" w:w="6912"/>
            <w:vAlign w:val="top"/>
          </w:tcPr>
          <w:p>
            <w:r/>
            <w:r>
              <w:rPr>
                <w:b w:val="0"/>
                <w:sz w:val="17"/>
              </w:rPr>
              <w:t>Approved contract value from cost plan.</w:t>
            </w:r>
          </w:p>
        </w:tc>
      </w:tr>
      <w:tr>
        <w:tc>
          <w:tcPr>
            <w:tcW w:type="dxa" w:w="2592"/>
            <w:vAlign w:val="top"/>
          </w:tcPr>
          <w:p>
            <w:r/>
            <w:r>
              <w:rPr>
                <w:b w:val="0"/>
                <w:sz w:val="17"/>
              </w:rPr>
              <w:t>Base forecast final cost</w:t>
            </w:r>
          </w:p>
        </w:tc>
        <w:tc>
          <w:tcPr>
            <w:tcW w:type="dxa" w:w="2016"/>
            <w:vAlign w:val="top"/>
          </w:tcPr>
          <w:p>
            <w:r/>
            <w:r>
              <w:rPr>
                <w:b w:val="0"/>
                <w:sz w:val="17"/>
              </w:rPr>
              <w:t>USD 5.017m</w:t>
            </w:r>
          </w:p>
        </w:tc>
        <w:tc>
          <w:tcPr>
            <w:tcW w:type="dxa" w:w="6912"/>
            <w:vAlign w:val="top"/>
          </w:tcPr>
          <w:p>
            <w:r/>
            <w:r>
              <w:rPr>
                <w:b w:val="0"/>
                <w:sz w:val="17"/>
              </w:rPr>
              <w:t>Current forecast before unapproved change approvals unless already captured.</w:t>
            </w:r>
          </w:p>
        </w:tc>
      </w:tr>
      <w:tr>
        <w:tc>
          <w:tcPr>
            <w:tcW w:type="dxa" w:w="2592"/>
            <w:vAlign w:val="top"/>
          </w:tcPr>
          <w:p>
            <w:r/>
            <w:r>
              <w:rPr>
                <w:b w:val="0"/>
                <w:sz w:val="17"/>
              </w:rPr>
              <w:t>Base adverse variance</w:t>
            </w:r>
          </w:p>
        </w:tc>
        <w:tc>
          <w:tcPr>
            <w:tcW w:type="dxa" w:w="2016"/>
            <w:vAlign w:val="top"/>
          </w:tcPr>
          <w:p>
            <w:r/>
            <w:r>
              <w:rPr>
                <w:b w:val="0"/>
                <w:sz w:val="17"/>
              </w:rPr>
              <w:t>USD 167k over budget</w:t>
            </w:r>
          </w:p>
        </w:tc>
        <w:tc>
          <w:tcPr>
            <w:tcW w:type="dxa" w:w="6912"/>
            <w:vAlign w:val="top"/>
          </w:tcPr>
          <w:p>
            <w:r/>
            <w:r>
              <w:rPr>
                <w:b w:val="0"/>
                <w:sz w:val="17"/>
              </w:rPr>
              <w:t>3.44% overrun; remaining contingency only USD 45k.</w:t>
            </w:r>
          </w:p>
        </w:tc>
      </w:tr>
      <w:tr>
        <w:tc>
          <w:tcPr>
            <w:tcW w:type="dxa" w:w="2592"/>
            <w:vAlign w:val="top"/>
          </w:tcPr>
          <w:p>
            <w:r/>
            <w:r>
              <w:rPr>
                <w:b w:val="0"/>
                <w:sz w:val="17"/>
              </w:rPr>
              <w:t>If CR-003 generator approved</w:t>
            </w:r>
          </w:p>
        </w:tc>
        <w:tc>
          <w:tcPr>
            <w:tcW w:type="dxa" w:w="2016"/>
            <w:vAlign w:val="top"/>
          </w:tcPr>
          <w:p>
            <w:r/>
            <w:r>
              <w:rPr>
                <w:b w:val="0"/>
                <w:sz w:val="17"/>
              </w:rPr>
              <w:t>+USD 18k</w:t>
            </w:r>
          </w:p>
        </w:tc>
        <w:tc>
          <w:tcPr>
            <w:tcW w:type="dxa" w:w="6912"/>
            <w:vAlign w:val="top"/>
          </w:tcPr>
          <w:p>
            <w:r/>
            <w:r>
              <w:rPr>
                <w:b w:val="0"/>
                <w:sz w:val="17"/>
              </w:rPr>
              <w:t>Forecast becomes USD 5.035m; may reduce mobilization delay by about 4 days.</w:t>
            </w:r>
          </w:p>
        </w:tc>
      </w:tr>
      <w:tr>
        <w:tc>
          <w:tcPr>
            <w:tcW w:type="dxa" w:w="2592"/>
            <w:vAlign w:val="top"/>
          </w:tcPr>
          <w:p>
            <w:r/>
            <w:r>
              <w:rPr>
                <w:b w:val="0"/>
                <w:sz w:val="17"/>
              </w:rPr>
              <w:t>If CR-001 + CR-002 approved</w:t>
            </w:r>
          </w:p>
        </w:tc>
        <w:tc>
          <w:tcPr>
            <w:tcW w:type="dxa" w:w="2016"/>
            <w:vAlign w:val="top"/>
          </w:tcPr>
          <w:p>
            <w:r/>
            <w:r>
              <w:rPr>
                <w:b w:val="0"/>
                <w:sz w:val="17"/>
              </w:rPr>
              <w:t>+USD 230k</w:t>
            </w:r>
          </w:p>
        </w:tc>
        <w:tc>
          <w:tcPr>
            <w:tcW w:type="dxa" w:w="6912"/>
            <w:vAlign w:val="top"/>
          </w:tcPr>
          <w:p>
            <w:r/>
            <w:r>
              <w:rPr>
                <w:b w:val="0"/>
                <w:sz w:val="17"/>
              </w:rPr>
              <w:t>Forecast becomes USD 5.247m before generator; schedule exposure +25 days.</w:t>
            </w:r>
          </w:p>
        </w:tc>
      </w:tr>
      <w:tr>
        <w:tc>
          <w:tcPr>
            <w:tcW w:type="dxa" w:w="2592"/>
            <w:vAlign w:val="top"/>
          </w:tcPr>
          <w:p>
            <w:r/>
            <w:r>
              <w:rPr>
                <w:b w:val="0"/>
                <w:sz w:val="17"/>
              </w:rPr>
              <w:t>If all listed CRs approved</w:t>
            </w:r>
          </w:p>
        </w:tc>
        <w:tc>
          <w:tcPr>
            <w:tcW w:type="dxa" w:w="2016"/>
            <w:vAlign w:val="top"/>
          </w:tcPr>
          <w:p>
            <w:r/>
            <w:r>
              <w:rPr>
                <w:b w:val="0"/>
                <w:sz w:val="17"/>
              </w:rPr>
              <w:t>+USD 248k</w:t>
            </w:r>
          </w:p>
        </w:tc>
        <w:tc>
          <w:tcPr>
            <w:tcW w:type="dxa" w:w="6912"/>
            <w:vAlign w:val="top"/>
          </w:tcPr>
          <w:p>
            <w:r/>
            <w:r>
              <w:rPr>
                <w:b w:val="0"/>
                <w:sz w:val="17"/>
              </w:rPr>
              <w:t>Forecast becomes USD 5.265m, approx. USD 415k over original budget.</w:t>
            </w:r>
          </w:p>
        </w:tc>
      </w:tr>
    </w:tbl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3552"/>
        <w:gridCol w:w="3552"/>
        <w:gridCol w:w="3552"/>
      </w:tblGrid>
      <w:tr>
        <w:tc>
          <w:tcPr>
            <w:tcW w:type="dxa" w:w="3096"/>
            <w:shd w:fill="1F4E79"/>
          </w:tcPr>
          <w:p>
            <w:r/>
            <w:r>
              <w:rPr>
                <w:b/>
                <w:color w:val="FFFFFF"/>
                <w:sz w:val="17"/>
              </w:rPr>
              <w:t>Package</w:t>
            </w:r>
          </w:p>
        </w:tc>
        <w:tc>
          <w:tcPr>
            <w:tcW w:type="dxa" w:w="1584"/>
            <w:shd w:fill="1F4E79"/>
          </w:tcPr>
          <w:p>
            <w:r/>
            <w:r>
              <w:rPr>
                <w:b/>
                <w:color w:val="FFFFFF"/>
                <w:sz w:val="17"/>
              </w:rPr>
              <w:t>Adverse variance</w:t>
            </w:r>
          </w:p>
        </w:tc>
        <w:tc>
          <w:tcPr>
            <w:tcW w:type="dxa" w:w="7056"/>
            <w:shd w:fill="1F4E79"/>
          </w:tcPr>
          <w:p>
            <w:r/>
            <w:r>
              <w:rPr>
                <w:b/>
                <w:color w:val="FFFFFF"/>
                <w:sz w:val="17"/>
              </w:rPr>
              <w:t>Explanation / response</w:t>
            </w:r>
          </w:p>
        </w:tc>
      </w:tr>
      <w:tr>
        <w:tc>
          <w:tcPr>
            <w:tcW w:type="dxa" w:w="3096"/>
            <w:vAlign w:val="top"/>
          </w:tcPr>
          <w:p>
            <w:r/>
            <w:r>
              <w:rPr>
                <w:b w:val="0"/>
                <w:sz w:val="17"/>
              </w:rPr>
              <w:t>Structural concrete frame</w:t>
            </w:r>
          </w:p>
        </w:tc>
        <w:tc>
          <w:tcPr>
            <w:tcW w:type="dxa" w:w="1584"/>
            <w:vAlign w:val="top"/>
          </w:tcPr>
          <w:p>
            <w:r/>
            <w:r>
              <w:rPr>
                <w:b w:val="0"/>
                <w:sz w:val="17"/>
              </w:rPr>
              <w:t>-USD 30k</w:t>
            </w:r>
          </w:p>
        </w:tc>
        <w:tc>
          <w:tcPr>
            <w:tcW w:type="dxa" w:w="7056"/>
            <w:vAlign w:val="top"/>
          </w:tcPr>
          <w:p>
            <w:r/>
            <w:r>
              <w:rPr>
                <w:b w:val="0"/>
                <w:sz w:val="17"/>
              </w:rPr>
              <w:t>Steel price escalation exposure; lock reinforcement steel quotation.</w:t>
            </w:r>
          </w:p>
        </w:tc>
      </w:tr>
      <w:tr>
        <w:tc>
          <w:tcPr>
            <w:tcW w:type="dxa" w:w="3096"/>
            <w:vAlign w:val="top"/>
          </w:tcPr>
          <w:p>
            <w:r/>
            <w:r>
              <w:rPr>
                <w:b w:val="0"/>
                <w:sz w:val="17"/>
              </w:rPr>
              <w:t>Façade and external envelope</w:t>
            </w:r>
          </w:p>
        </w:tc>
        <w:tc>
          <w:tcPr>
            <w:tcW w:type="dxa" w:w="1584"/>
            <w:vAlign w:val="top"/>
          </w:tcPr>
          <w:p>
            <w:r/>
            <w:r>
              <w:rPr>
                <w:b w:val="0"/>
                <w:sz w:val="17"/>
              </w:rPr>
              <w:t>-USD 30k</w:t>
            </w:r>
          </w:p>
        </w:tc>
        <w:tc>
          <w:tcPr>
            <w:tcW w:type="dxa" w:w="7056"/>
            <w:vAlign w:val="top"/>
          </w:tcPr>
          <w:p>
            <w:r/>
            <w:r>
              <w:rPr>
                <w:b w:val="0"/>
                <w:sz w:val="17"/>
              </w:rPr>
              <w:t>Glazing quotation valid for 30 days; production slot depends on approval.</w:t>
            </w:r>
          </w:p>
        </w:tc>
      </w:tr>
      <w:tr>
        <w:tc>
          <w:tcPr>
            <w:tcW w:type="dxa" w:w="3096"/>
            <w:vAlign w:val="top"/>
          </w:tcPr>
          <w:p>
            <w:r/>
            <w:r>
              <w:rPr>
                <w:b w:val="0"/>
                <w:sz w:val="17"/>
              </w:rPr>
              <w:t>Interior finishes and joinery</w:t>
            </w:r>
          </w:p>
        </w:tc>
        <w:tc>
          <w:tcPr>
            <w:tcW w:type="dxa" w:w="1584"/>
            <w:vAlign w:val="top"/>
          </w:tcPr>
          <w:p>
            <w:r/>
            <w:r>
              <w:rPr>
                <w:b w:val="0"/>
                <w:sz w:val="17"/>
              </w:rPr>
              <w:t>-USD 30k</w:t>
            </w:r>
          </w:p>
        </w:tc>
        <w:tc>
          <w:tcPr>
            <w:tcW w:type="dxa" w:w="7056"/>
            <w:vAlign w:val="top"/>
          </w:tcPr>
          <w:p>
            <w:r/>
            <w:r>
              <w:rPr>
                <w:b w:val="0"/>
                <w:sz w:val="17"/>
              </w:rPr>
              <w:t>Final material selections not frozen; compressed finish period.</w:t>
            </w:r>
          </w:p>
        </w:tc>
      </w:tr>
      <w:tr>
        <w:tc>
          <w:tcPr>
            <w:tcW w:type="dxa" w:w="3096"/>
            <w:vAlign w:val="top"/>
          </w:tcPr>
          <w:p>
            <w:r/>
            <w:r>
              <w:rPr>
                <w:b w:val="0"/>
                <w:sz w:val="17"/>
              </w:rPr>
              <w:t>Excavation, shoring and substructure</w:t>
            </w:r>
          </w:p>
        </w:tc>
        <w:tc>
          <w:tcPr>
            <w:tcW w:type="dxa" w:w="1584"/>
            <w:vAlign w:val="top"/>
          </w:tcPr>
          <w:p>
            <w:r/>
            <w:r>
              <w:rPr>
                <w:b w:val="0"/>
                <w:sz w:val="17"/>
              </w:rPr>
              <w:t>-USD 27k</w:t>
            </w:r>
          </w:p>
        </w:tc>
        <w:tc>
          <w:tcPr>
            <w:tcW w:type="dxa" w:w="7056"/>
            <w:vAlign w:val="top"/>
          </w:tcPr>
          <w:p>
            <w:r/>
            <w:r>
              <w:rPr>
                <w:b w:val="0"/>
                <w:sz w:val="17"/>
              </w:rPr>
              <w:t>Possible hard-rock claim not included.</w:t>
            </w:r>
          </w:p>
        </w:tc>
      </w:tr>
      <w:tr>
        <w:tc>
          <w:tcPr>
            <w:tcW w:type="dxa" w:w="3096"/>
            <w:vAlign w:val="top"/>
          </w:tcPr>
          <w:p>
            <w:r/>
            <w:r>
              <w:rPr>
                <w:b w:val="0"/>
                <w:sz w:val="17"/>
              </w:rPr>
              <w:t>Mechanical systems</w:t>
            </w:r>
          </w:p>
        </w:tc>
        <w:tc>
          <w:tcPr>
            <w:tcW w:type="dxa" w:w="1584"/>
            <w:vAlign w:val="top"/>
          </w:tcPr>
          <w:p>
            <w:r/>
            <w:r>
              <w:rPr>
                <w:b w:val="0"/>
                <w:sz w:val="17"/>
              </w:rPr>
              <w:t>-USD 25k</w:t>
            </w:r>
          </w:p>
        </w:tc>
        <w:tc>
          <w:tcPr>
            <w:tcW w:type="dxa" w:w="7056"/>
            <w:vAlign w:val="top"/>
          </w:tcPr>
          <w:p>
            <w:r/>
            <w:r>
              <w:rPr>
                <w:b w:val="0"/>
                <w:sz w:val="17"/>
              </w:rPr>
              <w:t>Chiller procurement pending and capacity not frozen.</w:t>
            </w:r>
          </w:p>
        </w:tc>
      </w:tr>
      <w:tr>
        <w:tc>
          <w:tcPr>
            <w:tcW w:type="dxa" w:w="3096"/>
            <w:vAlign w:val="top"/>
          </w:tcPr>
          <w:p>
            <w:r/>
            <w:r>
              <w:rPr>
                <w:b w:val="0"/>
                <w:sz w:val="17"/>
              </w:rPr>
              <w:t>Preliminaries and site management</w:t>
            </w:r>
          </w:p>
        </w:tc>
        <w:tc>
          <w:tcPr>
            <w:tcW w:type="dxa" w:w="1584"/>
            <w:vAlign w:val="top"/>
          </w:tcPr>
          <w:p>
            <w:r/>
            <w:r>
              <w:rPr>
                <w:b w:val="0"/>
                <w:sz w:val="17"/>
              </w:rPr>
              <w:t>-USD 20k</w:t>
            </w:r>
          </w:p>
        </w:tc>
        <w:tc>
          <w:tcPr>
            <w:tcW w:type="dxa" w:w="7056"/>
            <w:vAlign w:val="top"/>
          </w:tcPr>
          <w:p>
            <w:r/>
            <w:r>
              <w:rPr>
                <w:b w:val="0"/>
                <w:sz w:val="17"/>
              </w:rPr>
              <w:t>Temporary utilities running above allowance; generator would add USD 18k if approved.</w:t>
            </w:r>
          </w:p>
        </w:tc>
      </w:tr>
    </w:tbl>
    <w:p>
      <w:pPr>
        <w:pStyle w:val="Heading1"/>
      </w:pPr>
      <w:r>
        <w:t>5. Procurement Priority List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131"/>
        <w:gridCol w:w="2131"/>
        <w:gridCol w:w="2131"/>
        <w:gridCol w:w="2131"/>
        <w:gridCol w:w="2131"/>
      </w:tblGrid>
      <w:tr>
        <w:tc>
          <w:tcPr>
            <w:tcW w:type="dxa" w:w="504"/>
            <w:shd w:fill="1F4E79"/>
          </w:tcPr>
          <w:p>
            <w:r/>
            <w:r>
              <w:rPr>
                <w:b/>
                <w:color w:val="FFFFFF"/>
                <w:sz w:val="17"/>
              </w:rPr>
              <w:t>Rank</w:t>
            </w:r>
          </w:p>
        </w:tc>
        <w:tc>
          <w:tcPr>
            <w:tcW w:type="dxa" w:w="2448"/>
            <w:shd w:fill="1F4E79"/>
          </w:tcPr>
          <w:p>
            <w:r/>
            <w:r>
              <w:rPr>
                <w:b/>
                <w:color w:val="FFFFFF"/>
                <w:sz w:val="17"/>
              </w:rPr>
              <w:t>Package</w:t>
            </w:r>
          </w:p>
        </w:tc>
        <w:tc>
          <w:tcPr>
            <w:tcW w:type="dxa" w:w="936"/>
            <w:shd w:fill="1F4E79"/>
          </w:tcPr>
          <w:p>
            <w:r/>
            <w:r>
              <w:rPr>
                <w:b/>
                <w:color w:val="FFFFFF"/>
                <w:sz w:val="17"/>
              </w:rPr>
              <w:t>Priority</w:t>
            </w:r>
          </w:p>
        </w:tc>
        <w:tc>
          <w:tcPr>
            <w:tcW w:type="dxa" w:w="3456"/>
            <w:shd w:fill="1F4E79"/>
          </w:tcPr>
          <w:p>
            <w:r/>
            <w:r>
              <w:rPr>
                <w:b/>
                <w:color w:val="FFFFFF"/>
                <w:sz w:val="17"/>
              </w:rPr>
              <w:t>Why it matters</w:t>
            </w:r>
          </w:p>
        </w:tc>
        <w:tc>
          <w:tcPr>
            <w:tcW w:type="dxa" w:w="3312"/>
            <w:shd w:fill="1F4E79"/>
          </w:tcPr>
          <w:p>
            <w:r/>
            <w:r>
              <w:rPr>
                <w:b/>
                <w:color w:val="FFFFFF"/>
                <w:sz w:val="17"/>
              </w:rPr>
              <w:t>Immediate action</w:t>
            </w:r>
          </w:p>
        </w:tc>
      </w:tr>
      <w:tr>
        <w:tc>
          <w:tcPr>
            <w:tcW w:type="dxa" w:w="504"/>
            <w:vAlign w:val="top"/>
          </w:tcPr>
          <w:p>
            <w:r/>
            <w:r>
              <w:rPr>
                <w:b w:val="0"/>
                <w:sz w:val="17"/>
              </w:rPr>
              <w:t>1</w:t>
            </w:r>
          </w:p>
        </w:tc>
        <w:tc>
          <w:tcPr>
            <w:tcW w:type="dxa" w:w="2448"/>
            <w:vAlign w:val="top"/>
          </w:tcPr>
          <w:p>
            <w:r/>
            <w:r>
              <w:rPr>
                <w:b w:val="0"/>
                <w:sz w:val="17"/>
              </w:rPr>
              <w:t>Aluminium façade and glazing</w:t>
            </w:r>
          </w:p>
        </w:tc>
        <w:tc>
          <w:tcPr>
            <w:tcW w:type="dxa" w:w="936"/>
            <w:vAlign w:val="top"/>
          </w:tcPr>
          <w:p>
            <w:r/>
            <w:r>
              <w:rPr>
                <w:b w:val="0"/>
                <w:sz w:val="17"/>
              </w:rPr>
              <w:t>Critical</w:t>
            </w:r>
          </w:p>
        </w:tc>
        <w:tc>
          <w:tcPr>
            <w:tcW w:type="dxa" w:w="3456"/>
            <w:vAlign w:val="top"/>
          </w:tcPr>
          <w:p>
            <w:r/>
            <w:r>
              <w:rPr>
                <w:b w:val="0"/>
                <w:sz w:val="17"/>
              </w:rPr>
              <w:t>Required on site 10 Mar 2027; 120-day lead time; awaiting client approval.</w:t>
            </w:r>
          </w:p>
        </w:tc>
        <w:tc>
          <w:tcPr>
            <w:tcW w:type="dxa" w:w="3312"/>
            <w:vAlign w:val="top"/>
          </w:tcPr>
          <w:p>
            <w:r/>
            <w:r>
              <w:rPr>
                <w:b w:val="0"/>
                <w:sz w:val="17"/>
              </w:rPr>
              <w:t>Approve specification/shop-drawing schedule and release advance payment.</w:t>
            </w:r>
          </w:p>
        </w:tc>
      </w:tr>
      <w:tr>
        <w:tc>
          <w:tcPr>
            <w:tcW w:type="dxa" w:w="504"/>
            <w:vAlign w:val="top"/>
          </w:tcPr>
          <w:p>
            <w:r/>
            <w:r>
              <w:rPr>
                <w:b w:val="0"/>
                <w:sz w:val="17"/>
              </w:rPr>
              <w:t>2</w:t>
            </w:r>
          </w:p>
        </w:tc>
        <w:tc>
          <w:tcPr>
            <w:tcW w:type="dxa" w:w="2448"/>
            <w:vAlign w:val="top"/>
          </w:tcPr>
          <w:p>
            <w:r/>
            <w:r>
              <w:rPr>
                <w:b w:val="0"/>
                <w:sz w:val="17"/>
              </w:rPr>
              <w:t>Chillers and AHUs</w:t>
            </w:r>
          </w:p>
        </w:tc>
        <w:tc>
          <w:tcPr>
            <w:tcW w:type="dxa" w:w="936"/>
            <w:vAlign w:val="top"/>
          </w:tcPr>
          <w:p>
            <w:r/>
            <w:r>
              <w:rPr>
                <w:b w:val="0"/>
                <w:sz w:val="17"/>
              </w:rPr>
              <w:t>Critical</w:t>
            </w:r>
          </w:p>
        </w:tc>
        <w:tc>
          <w:tcPr>
            <w:tcW w:type="dxa" w:w="3456"/>
            <w:vAlign w:val="top"/>
          </w:tcPr>
          <w:p>
            <w:r/>
            <w:r>
              <w:rPr>
                <w:b w:val="0"/>
                <w:sz w:val="17"/>
              </w:rPr>
              <w:t>Required 1 May 2027; 150-day lead time; delayed and design not frozen.</w:t>
            </w:r>
          </w:p>
        </w:tc>
        <w:tc>
          <w:tcPr>
            <w:tcW w:type="dxa" w:w="3312"/>
            <w:vAlign w:val="top"/>
          </w:tcPr>
          <w:p>
            <w:r/>
            <w:r>
              <w:rPr>
                <w:b w:val="0"/>
                <w:sz w:val="17"/>
              </w:rPr>
              <w:t>Freeze capacity within 10 days; close technical clarifications.</w:t>
            </w:r>
          </w:p>
        </w:tc>
      </w:tr>
      <w:tr>
        <w:tc>
          <w:tcPr>
            <w:tcW w:type="dxa" w:w="504"/>
            <w:vAlign w:val="top"/>
          </w:tcPr>
          <w:p>
            <w:r/>
            <w:r>
              <w:rPr>
                <w:b w:val="0"/>
                <w:sz w:val="17"/>
              </w:rPr>
              <w:t>3</w:t>
            </w:r>
          </w:p>
        </w:tc>
        <w:tc>
          <w:tcPr>
            <w:tcW w:type="dxa" w:w="2448"/>
            <w:vAlign w:val="top"/>
          </w:tcPr>
          <w:p>
            <w:r/>
            <w:r>
              <w:rPr>
                <w:b w:val="0"/>
                <w:sz w:val="17"/>
              </w:rPr>
              <w:t>Elevators</w:t>
            </w:r>
          </w:p>
        </w:tc>
        <w:tc>
          <w:tcPr>
            <w:tcW w:type="dxa" w:w="936"/>
            <w:vAlign w:val="top"/>
          </w:tcPr>
          <w:p>
            <w:r/>
            <w:r>
              <w:rPr>
                <w:b w:val="0"/>
                <w:sz w:val="17"/>
              </w:rPr>
              <w:t>Critical</w:t>
            </w:r>
          </w:p>
        </w:tc>
        <w:tc>
          <w:tcPr>
            <w:tcW w:type="dxa" w:w="3456"/>
            <w:vAlign w:val="top"/>
          </w:tcPr>
          <w:p>
            <w:r/>
            <w:r>
              <w:rPr>
                <w:b w:val="0"/>
                <w:sz w:val="17"/>
              </w:rPr>
              <w:t>Required 1 Jun 2027; 180-day lead time; awaiting contract.</w:t>
            </w:r>
          </w:p>
        </w:tc>
        <w:tc>
          <w:tcPr>
            <w:tcW w:type="dxa" w:w="3312"/>
            <w:vAlign w:val="top"/>
          </w:tcPr>
          <w:p>
            <w:r/>
            <w:r>
              <w:rPr>
                <w:b w:val="0"/>
                <w:sz w:val="17"/>
              </w:rPr>
              <w:t>Issue letter of intent immediately.</w:t>
            </w:r>
          </w:p>
        </w:tc>
      </w:tr>
      <w:tr>
        <w:tc>
          <w:tcPr>
            <w:tcW w:type="dxa" w:w="504"/>
            <w:vAlign w:val="top"/>
          </w:tcPr>
          <w:p>
            <w:r/>
            <w:r>
              <w:rPr>
                <w:b w:val="0"/>
                <w:sz w:val="17"/>
              </w:rPr>
              <w:t>4</w:t>
            </w:r>
          </w:p>
        </w:tc>
        <w:tc>
          <w:tcPr>
            <w:tcW w:type="dxa" w:w="2448"/>
            <w:vAlign w:val="top"/>
          </w:tcPr>
          <w:p>
            <w:r/>
            <w:r>
              <w:rPr>
                <w:b w:val="0"/>
                <w:sz w:val="17"/>
              </w:rPr>
              <w:t>Reinforcement steel</w:t>
            </w:r>
          </w:p>
        </w:tc>
        <w:tc>
          <w:tcPr>
            <w:tcW w:type="dxa" w:w="936"/>
            <w:vAlign w:val="top"/>
          </w:tcPr>
          <w:p>
            <w:r/>
            <w:r>
              <w:rPr>
                <w:b w:val="0"/>
                <w:sz w:val="17"/>
              </w:rPr>
              <w:t>High</w:t>
            </w:r>
          </w:p>
        </w:tc>
        <w:tc>
          <w:tcPr>
            <w:tcW w:type="dxa" w:w="3456"/>
            <w:vAlign w:val="top"/>
          </w:tcPr>
          <w:p>
            <w:r/>
            <w:r>
              <w:rPr>
                <w:b w:val="0"/>
                <w:sz w:val="17"/>
              </w:rPr>
              <w:t>Price may rise after quotation validity; needed early in substructure.</w:t>
            </w:r>
          </w:p>
        </w:tc>
        <w:tc>
          <w:tcPr>
            <w:tcW w:type="dxa" w:w="3312"/>
            <w:vAlign w:val="top"/>
          </w:tcPr>
          <w:p>
            <w:r/>
            <w:r>
              <w:rPr>
                <w:b w:val="0"/>
                <w:sz w:val="17"/>
              </w:rPr>
              <w:t>Lock price and issue PO before expiry.</w:t>
            </w:r>
          </w:p>
        </w:tc>
      </w:tr>
      <w:tr>
        <w:tc>
          <w:tcPr>
            <w:tcW w:type="dxa" w:w="504"/>
            <w:vAlign w:val="top"/>
          </w:tcPr>
          <w:p>
            <w:r/>
            <w:r>
              <w:rPr>
                <w:b w:val="0"/>
                <w:sz w:val="17"/>
              </w:rPr>
              <w:t>5</w:t>
            </w:r>
          </w:p>
        </w:tc>
        <w:tc>
          <w:tcPr>
            <w:tcW w:type="dxa" w:w="2448"/>
            <w:vAlign w:val="top"/>
          </w:tcPr>
          <w:p>
            <w:r/>
            <w:r>
              <w:rPr>
                <w:b w:val="0"/>
                <w:sz w:val="17"/>
              </w:rPr>
              <w:t>Main electrical panels</w:t>
            </w:r>
          </w:p>
        </w:tc>
        <w:tc>
          <w:tcPr>
            <w:tcW w:type="dxa" w:w="936"/>
            <w:vAlign w:val="top"/>
          </w:tcPr>
          <w:p>
            <w:r/>
            <w:r>
              <w:rPr>
                <w:b w:val="0"/>
                <w:sz w:val="17"/>
              </w:rPr>
              <w:t>High</w:t>
            </w:r>
          </w:p>
        </w:tc>
        <w:tc>
          <w:tcPr>
            <w:tcW w:type="dxa" w:w="3456"/>
            <w:vAlign w:val="top"/>
          </w:tcPr>
          <w:p>
            <w:r/>
            <w:r>
              <w:rPr>
                <w:b w:val="0"/>
                <w:sz w:val="17"/>
              </w:rPr>
              <w:t>90-day lead; short-circuit study outstanding.</w:t>
            </w:r>
          </w:p>
        </w:tc>
        <w:tc>
          <w:tcPr>
            <w:tcW w:type="dxa" w:w="3312"/>
            <w:vAlign w:val="top"/>
          </w:tcPr>
          <w:p>
            <w:r/>
            <w:r>
              <w:rPr>
                <w:b w:val="0"/>
                <w:sz w:val="17"/>
              </w:rPr>
              <w:t>Close study and complete technical evaluation.</w:t>
            </w:r>
          </w:p>
        </w:tc>
      </w:tr>
      <w:tr>
        <w:tc>
          <w:tcPr>
            <w:tcW w:type="dxa" w:w="504"/>
            <w:vAlign w:val="top"/>
          </w:tcPr>
          <w:p>
            <w:r/>
            <w:r>
              <w:rPr>
                <w:b w:val="0"/>
                <w:sz w:val="17"/>
              </w:rPr>
              <w:t>6</w:t>
            </w:r>
          </w:p>
        </w:tc>
        <w:tc>
          <w:tcPr>
            <w:tcW w:type="dxa" w:w="2448"/>
            <w:vAlign w:val="top"/>
          </w:tcPr>
          <w:p>
            <w:r/>
            <w:r>
              <w:rPr>
                <w:b w:val="0"/>
                <w:sz w:val="17"/>
              </w:rPr>
              <w:t>Diesel generator</w:t>
            </w:r>
          </w:p>
        </w:tc>
        <w:tc>
          <w:tcPr>
            <w:tcW w:type="dxa" w:w="936"/>
            <w:vAlign w:val="top"/>
          </w:tcPr>
          <w:p>
            <w:r/>
            <w:r>
              <w:rPr>
                <w:b w:val="0"/>
                <w:sz w:val="17"/>
              </w:rPr>
              <w:t>High</w:t>
            </w:r>
          </w:p>
        </w:tc>
        <w:tc>
          <w:tcPr>
            <w:tcW w:type="dxa" w:w="3456"/>
            <w:vAlign w:val="top"/>
          </w:tcPr>
          <w:p>
            <w:r/>
            <w:r>
              <w:rPr>
                <w:b w:val="0"/>
                <w:sz w:val="17"/>
              </w:rPr>
              <w:t>105-day lead; spec on hold; temporary generator also needed now.</w:t>
            </w:r>
          </w:p>
        </w:tc>
        <w:tc>
          <w:tcPr>
            <w:tcW w:type="dxa" w:w="3312"/>
            <w:vAlign w:val="top"/>
          </w:tcPr>
          <w:p>
            <w:r/>
            <w:r>
              <w:rPr>
                <w:b w:val="0"/>
                <w:sz w:val="17"/>
              </w:rPr>
              <w:t>Confirm acoustic/emissions requirements; decide temporary vs permanent scope.</w:t>
            </w:r>
          </w:p>
        </w:tc>
      </w:tr>
      <w:tr>
        <w:tc>
          <w:tcPr>
            <w:tcW w:type="dxa" w:w="504"/>
            <w:vAlign w:val="top"/>
          </w:tcPr>
          <w:p>
            <w:r/>
            <w:r>
              <w:rPr>
                <w:b w:val="0"/>
                <w:sz w:val="17"/>
              </w:rPr>
              <w:t>7</w:t>
            </w:r>
          </w:p>
        </w:tc>
        <w:tc>
          <w:tcPr>
            <w:tcW w:type="dxa" w:w="2448"/>
            <w:vAlign w:val="top"/>
          </w:tcPr>
          <w:p>
            <w:r/>
            <w:r>
              <w:rPr>
                <w:b w:val="0"/>
                <w:sz w:val="17"/>
              </w:rPr>
              <w:t>Doors and architectural joinery</w:t>
            </w:r>
          </w:p>
        </w:tc>
        <w:tc>
          <w:tcPr>
            <w:tcW w:type="dxa" w:w="936"/>
            <w:vAlign w:val="top"/>
          </w:tcPr>
          <w:p>
            <w:r/>
            <w:r>
              <w:rPr>
                <w:b w:val="0"/>
                <w:sz w:val="17"/>
              </w:rPr>
              <w:t>High</w:t>
            </w:r>
          </w:p>
        </w:tc>
        <w:tc>
          <w:tcPr>
            <w:tcW w:type="dxa" w:w="3456"/>
            <w:vAlign w:val="top"/>
          </w:tcPr>
          <w:p>
            <w:r/>
            <w:r>
              <w:rPr>
                <w:b w:val="0"/>
                <w:sz w:val="17"/>
              </w:rPr>
              <w:t>90-day lead; shop drawings pending.</w:t>
            </w:r>
          </w:p>
        </w:tc>
        <w:tc>
          <w:tcPr>
            <w:tcW w:type="dxa" w:w="3312"/>
            <w:vAlign w:val="top"/>
          </w:tcPr>
          <w:p>
            <w:r/>
            <w:r>
              <w:rPr>
                <w:b w:val="0"/>
                <w:sz w:val="17"/>
              </w:rPr>
              <w:t>Freeze room data sheets.</w:t>
            </w:r>
          </w:p>
        </w:tc>
      </w:tr>
      <w:tr>
        <w:tc>
          <w:tcPr>
            <w:tcW w:type="dxa" w:w="504"/>
            <w:vAlign w:val="top"/>
          </w:tcPr>
          <w:p>
            <w:r/>
            <w:r>
              <w:rPr>
                <w:b w:val="0"/>
                <w:sz w:val="17"/>
              </w:rPr>
              <w:t>8</w:t>
            </w:r>
          </w:p>
        </w:tc>
        <w:tc>
          <w:tcPr>
            <w:tcW w:type="dxa" w:w="2448"/>
            <w:vAlign w:val="top"/>
          </w:tcPr>
          <w:p>
            <w:r/>
            <w:r>
              <w:rPr>
                <w:b w:val="0"/>
                <w:sz w:val="17"/>
              </w:rPr>
              <w:t>Ready-mix concrete</w:t>
            </w:r>
          </w:p>
        </w:tc>
        <w:tc>
          <w:tcPr>
            <w:tcW w:type="dxa" w:w="936"/>
            <w:vAlign w:val="top"/>
          </w:tcPr>
          <w:p>
            <w:r/>
            <w:r>
              <w:rPr>
                <w:b w:val="0"/>
                <w:sz w:val="17"/>
              </w:rPr>
              <w:t>Medium</w:t>
            </w:r>
          </w:p>
        </w:tc>
        <w:tc>
          <w:tcPr>
            <w:tcW w:type="dxa" w:w="3456"/>
            <w:vAlign w:val="top"/>
          </w:tcPr>
          <w:p>
            <w:r/>
            <w:r>
              <w:rPr>
                <w:b w:val="0"/>
                <w:sz w:val="17"/>
              </w:rPr>
              <w:t>Pumping/night-pour rates not closed.</w:t>
            </w:r>
          </w:p>
        </w:tc>
        <w:tc>
          <w:tcPr>
            <w:tcW w:type="dxa" w:w="3312"/>
            <w:vAlign w:val="top"/>
          </w:tcPr>
          <w:p>
            <w:r/>
            <w:r>
              <w:rPr>
                <w:b w:val="0"/>
                <w:sz w:val="17"/>
              </w:rPr>
              <w:t>Confirm rates before raft/major pours.</w:t>
            </w:r>
          </w:p>
        </w:tc>
      </w:tr>
      <w:tr>
        <w:tc>
          <w:tcPr>
            <w:tcW w:type="dxa" w:w="504"/>
            <w:vAlign w:val="top"/>
          </w:tcPr>
          <w:p>
            <w:r/>
            <w:r>
              <w:rPr>
                <w:b w:val="0"/>
                <w:sz w:val="17"/>
              </w:rPr>
              <w:t>9</w:t>
            </w:r>
          </w:p>
        </w:tc>
        <w:tc>
          <w:tcPr>
            <w:tcW w:type="dxa" w:w="2448"/>
            <w:vAlign w:val="top"/>
          </w:tcPr>
          <w:p>
            <w:r/>
            <w:r>
              <w:rPr>
                <w:b w:val="0"/>
                <w:sz w:val="17"/>
              </w:rPr>
              <w:t>Raised flooring</w:t>
            </w:r>
          </w:p>
        </w:tc>
        <w:tc>
          <w:tcPr>
            <w:tcW w:type="dxa" w:w="936"/>
            <w:vAlign w:val="top"/>
          </w:tcPr>
          <w:p>
            <w:r/>
            <w:r>
              <w:rPr>
                <w:b w:val="0"/>
                <w:sz w:val="17"/>
              </w:rPr>
              <w:t>Medium</w:t>
            </w:r>
          </w:p>
        </w:tc>
        <w:tc>
          <w:tcPr>
            <w:tcW w:type="dxa" w:w="3456"/>
            <w:vAlign w:val="top"/>
          </w:tcPr>
          <w:p>
            <w:r/>
            <w:r>
              <w:rPr>
                <w:b w:val="0"/>
                <w:sz w:val="17"/>
              </w:rPr>
              <w:t>Budget quotation only.</w:t>
            </w:r>
          </w:p>
        </w:tc>
        <w:tc>
          <w:tcPr>
            <w:tcW w:type="dxa" w:w="3312"/>
            <w:vAlign w:val="top"/>
          </w:tcPr>
          <w:p>
            <w:r/>
            <w:r>
              <w:rPr>
                <w:b w:val="0"/>
                <w:sz w:val="17"/>
              </w:rPr>
              <w:t>Approve finish/loading criteria.</w:t>
            </w:r>
          </w:p>
        </w:tc>
      </w:tr>
    </w:tbl>
    <w:p>
      <w:pPr>
        <w:pStyle w:val="Heading1"/>
      </w:pPr>
      <w:r>
        <w:t>6. Updated Top-10 Risk and Issue Register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1776"/>
        <w:gridCol w:w="1776"/>
        <w:gridCol w:w="1776"/>
        <w:gridCol w:w="1776"/>
        <w:gridCol w:w="1776"/>
        <w:gridCol w:w="1776"/>
      </w:tblGrid>
      <w:tr>
        <w:tc>
          <w:tcPr>
            <w:tcW w:type="dxa" w:w="504"/>
            <w:shd w:fill="1F4E79"/>
          </w:tcPr>
          <w:p>
            <w:r/>
            <w:r>
              <w:rPr>
                <w:b/>
                <w:color w:val="FFFFFF"/>
                <w:sz w:val="17"/>
              </w:rPr>
              <w:t>Rank</w:t>
            </w:r>
          </w:p>
        </w:tc>
        <w:tc>
          <w:tcPr>
            <w:tcW w:type="dxa" w:w="792"/>
            <w:shd w:fill="1F4E79"/>
          </w:tcPr>
          <w:p>
            <w:r/>
            <w:r>
              <w:rPr>
                <w:b/>
                <w:color w:val="FFFFFF"/>
                <w:sz w:val="17"/>
              </w:rPr>
              <w:t>Type</w:t>
            </w:r>
          </w:p>
        </w:tc>
        <w:tc>
          <w:tcPr>
            <w:tcW w:type="dxa" w:w="3456"/>
            <w:shd w:fill="1F4E79"/>
          </w:tcPr>
          <w:p>
            <w:r/>
            <w:r>
              <w:rPr>
                <w:b/>
                <w:color w:val="FFFFFF"/>
                <w:sz w:val="17"/>
              </w:rPr>
              <w:t>Risk / Issue</w:t>
            </w:r>
          </w:p>
        </w:tc>
        <w:tc>
          <w:tcPr>
            <w:tcW w:type="dxa" w:w="1008"/>
            <w:shd w:fill="1F4E79"/>
          </w:tcPr>
          <w:p>
            <w:r/>
            <w:r>
              <w:rPr>
                <w:b/>
                <w:color w:val="FFFFFF"/>
                <w:sz w:val="17"/>
              </w:rPr>
              <w:t>Severity</w:t>
            </w:r>
          </w:p>
        </w:tc>
        <w:tc>
          <w:tcPr>
            <w:tcW w:type="dxa" w:w="1728"/>
            <w:shd w:fill="1F4E79"/>
          </w:tcPr>
          <w:p>
            <w:r/>
            <w:r>
              <w:rPr>
                <w:b/>
                <w:color w:val="FFFFFF"/>
                <w:sz w:val="17"/>
              </w:rPr>
              <w:t>Owner</w:t>
            </w:r>
          </w:p>
        </w:tc>
        <w:tc>
          <w:tcPr>
            <w:tcW w:type="dxa" w:w="3456"/>
            <w:shd w:fill="1F4E79"/>
          </w:tcPr>
          <w:p>
            <w:r/>
            <w:r>
              <w:rPr>
                <w:b/>
                <w:color w:val="FFFFFF"/>
                <w:sz w:val="17"/>
              </w:rPr>
              <w:t>Mitigation / next action</w:t>
            </w:r>
          </w:p>
        </w:tc>
      </w:tr>
      <w:tr>
        <w:tc>
          <w:tcPr>
            <w:tcW w:type="dxa" w:w="504"/>
            <w:vAlign w:val="top"/>
          </w:tcPr>
          <w:p>
            <w:r/>
            <w:r>
              <w:rPr>
                <w:b w:val="0"/>
                <w:sz w:val="17"/>
              </w:rPr>
              <w:t>1</w:t>
            </w:r>
          </w:p>
        </w:tc>
        <w:tc>
          <w:tcPr>
            <w:tcW w:type="dxa" w:w="792"/>
            <w:vAlign w:val="top"/>
          </w:tcPr>
          <w:p>
            <w:r/>
            <w:r>
              <w:rPr>
                <w:b w:val="0"/>
                <w:sz w:val="17"/>
              </w:rPr>
              <w:t>Issue</w:t>
            </w:r>
          </w:p>
        </w:tc>
        <w:tc>
          <w:tcPr>
            <w:tcW w:type="dxa" w:w="3456"/>
            <w:vAlign w:val="top"/>
          </w:tcPr>
          <w:p>
            <w:r/>
            <w:r>
              <w:rPr>
                <w:b w:val="0"/>
                <w:sz w:val="17"/>
              </w:rPr>
              <w:t>Current baseline handover is 21 days late</w:t>
            </w:r>
          </w:p>
        </w:tc>
        <w:tc>
          <w:tcPr>
            <w:tcW w:type="dxa" w:w="1008"/>
            <w:vAlign w:val="top"/>
          </w:tcPr>
          <w:p>
            <w:r/>
            <w:r>
              <w:rPr>
                <w:b w:val="0"/>
                <w:sz w:val="17"/>
              </w:rPr>
              <w:t>Critical</w:t>
            </w:r>
          </w:p>
        </w:tc>
        <w:tc>
          <w:tcPr>
            <w:tcW w:type="dxa" w:w="1728"/>
            <w:vAlign w:val="top"/>
          </w:tcPr>
          <w:p>
            <w:r/>
            <w:r>
              <w:rPr>
                <w:b w:val="0"/>
                <w:sz w:val="17"/>
              </w:rPr>
              <w:t>Planning Manager</w:t>
            </w:r>
          </w:p>
        </w:tc>
        <w:tc>
          <w:tcPr>
            <w:tcW w:type="dxa" w:w="3456"/>
            <w:vAlign w:val="top"/>
          </w:tcPr>
          <w:p>
            <w:r/>
            <w:r>
              <w:rPr>
                <w:b w:val="0"/>
                <w:sz w:val="17"/>
              </w:rPr>
              <w:t>Approve recovery programme; weekly executive look-ahead.</w:t>
            </w:r>
          </w:p>
        </w:tc>
      </w:tr>
      <w:tr>
        <w:tc>
          <w:tcPr>
            <w:tcW w:type="dxa" w:w="504"/>
            <w:vAlign w:val="top"/>
          </w:tcPr>
          <w:p>
            <w:r/>
            <w:r>
              <w:rPr>
                <w:b w:val="0"/>
                <w:sz w:val="17"/>
              </w:rPr>
              <w:t>2</w:t>
            </w:r>
          </w:p>
        </w:tc>
        <w:tc>
          <w:tcPr>
            <w:tcW w:type="dxa" w:w="792"/>
            <w:vAlign w:val="top"/>
          </w:tcPr>
          <w:p>
            <w:r/>
            <w:r>
              <w:rPr>
                <w:b w:val="0"/>
                <w:sz w:val="17"/>
              </w:rPr>
              <w:t>Risk</w:t>
            </w:r>
          </w:p>
        </w:tc>
        <w:tc>
          <w:tcPr>
            <w:tcW w:type="dxa" w:w="3456"/>
            <w:vAlign w:val="top"/>
          </w:tcPr>
          <w:p>
            <w:r/>
            <w:r>
              <w:rPr>
                <w:b w:val="0"/>
                <w:sz w:val="17"/>
              </w:rPr>
              <w:t>Façade production slot missed / glazing upgrade decision late</w:t>
            </w:r>
          </w:p>
        </w:tc>
        <w:tc>
          <w:tcPr>
            <w:tcW w:type="dxa" w:w="1008"/>
            <w:vAlign w:val="top"/>
          </w:tcPr>
          <w:p>
            <w:r/>
            <w:r>
              <w:rPr>
                <w:b w:val="0"/>
                <w:sz w:val="17"/>
              </w:rPr>
              <w:t>Critical</w:t>
            </w:r>
          </w:p>
        </w:tc>
        <w:tc>
          <w:tcPr>
            <w:tcW w:type="dxa" w:w="1728"/>
            <w:vAlign w:val="top"/>
          </w:tcPr>
          <w:p>
            <w:r/>
            <w:r>
              <w:rPr>
                <w:b w:val="0"/>
                <w:sz w:val="17"/>
              </w:rPr>
              <w:t>Façade Manager</w:t>
            </w:r>
          </w:p>
        </w:tc>
        <w:tc>
          <w:tcPr>
            <w:tcW w:type="dxa" w:w="3456"/>
            <w:vAlign w:val="top"/>
          </w:tcPr>
          <w:p>
            <w:r/>
            <w:r>
              <w:rPr>
                <w:b w:val="0"/>
                <w:sz w:val="17"/>
              </w:rPr>
              <w:t>Client decision by deadline; staged approvals and LOI.</w:t>
            </w:r>
          </w:p>
        </w:tc>
      </w:tr>
      <w:tr>
        <w:tc>
          <w:tcPr>
            <w:tcW w:type="dxa" w:w="504"/>
            <w:vAlign w:val="top"/>
          </w:tcPr>
          <w:p>
            <w:r/>
            <w:r>
              <w:rPr>
                <w:b w:val="0"/>
                <w:sz w:val="17"/>
              </w:rPr>
              <w:t>3</w:t>
            </w:r>
          </w:p>
        </w:tc>
        <w:tc>
          <w:tcPr>
            <w:tcW w:type="dxa" w:w="792"/>
            <w:vAlign w:val="top"/>
          </w:tcPr>
          <w:p>
            <w:r/>
            <w:r>
              <w:rPr>
                <w:b w:val="0"/>
                <w:sz w:val="17"/>
              </w:rPr>
              <w:t>Risk</w:t>
            </w:r>
          </w:p>
        </w:tc>
        <w:tc>
          <w:tcPr>
            <w:tcW w:type="dxa" w:w="3456"/>
            <w:vAlign w:val="top"/>
          </w:tcPr>
          <w:p>
            <w:r/>
            <w:r>
              <w:rPr>
                <w:b w:val="0"/>
                <w:sz w:val="17"/>
              </w:rPr>
              <w:t>Chiller capacity not frozen / HVAC long lead</w:t>
            </w:r>
          </w:p>
        </w:tc>
        <w:tc>
          <w:tcPr>
            <w:tcW w:type="dxa" w:w="1008"/>
            <w:vAlign w:val="top"/>
          </w:tcPr>
          <w:p>
            <w:r/>
            <w:r>
              <w:rPr>
                <w:b w:val="0"/>
                <w:sz w:val="17"/>
              </w:rPr>
              <w:t>Critical</w:t>
            </w:r>
          </w:p>
        </w:tc>
        <w:tc>
          <w:tcPr>
            <w:tcW w:type="dxa" w:w="1728"/>
            <w:vAlign w:val="top"/>
          </w:tcPr>
          <w:p>
            <w:r/>
            <w:r>
              <w:rPr>
                <w:b w:val="0"/>
                <w:sz w:val="17"/>
              </w:rPr>
              <w:t>MEP Manager</w:t>
            </w:r>
          </w:p>
        </w:tc>
        <w:tc>
          <w:tcPr>
            <w:tcW w:type="dxa" w:w="3456"/>
            <w:vAlign w:val="top"/>
          </w:tcPr>
          <w:p>
            <w:r/>
            <w:r>
              <w:rPr>
                <w:b w:val="0"/>
                <w:sz w:val="17"/>
              </w:rPr>
              <w:t>Freeze loads and chiller capacity; procurement task force.</w:t>
            </w:r>
          </w:p>
        </w:tc>
      </w:tr>
      <w:tr>
        <w:tc>
          <w:tcPr>
            <w:tcW w:type="dxa" w:w="504"/>
            <w:vAlign w:val="top"/>
          </w:tcPr>
          <w:p>
            <w:r/>
            <w:r>
              <w:rPr>
                <w:b w:val="0"/>
                <w:sz w:val="17"/>
              </w:rPr>
              <w:t>4</w:t>
            </w:r>
          </w:p>
        </w:tc>
        <w:tc>
          <w:tcPr>
            <w:tcW w:type="dxa" w:w="792"/>
            <w:vAlign w:val="top"/>
          </w:tcPr>
          <w:p>
            <w:r/>
            <w:r>
              <w:rPr>
                <w:b w:val="0"/>
                <w:sz w:val="17"/>
              </w:rPr>
              <w:t>Issue</w:t>
            </w:r>
          </w:p>
        </w:tc>
        <w:tc>
          <w:tcPr>
            <w:tcW w:type="dxa" w:w="3456"/>
            <w:vAlign w:val="top"/>
          </w:tcPr>
          <w:p>
            <w:r/>
            <w:r>
              <w:rPr>
                <w:b w:val="0"/>
                <w:sz w:val="17"/>
              </w:rPr>
              <w:t>Temporary power connection 8 days late</w:t>
            </w:r>
          </w:p>
        </w:tc>
        <w:tc>
          <w:tcPr>
            <w:tcW w:type="dxa" w:w="1008"/>
            <w:vAlign w:val="top"/>
          </w:tcPr>
          <w:p>
            <w:r/>
            <w:r>
              <w:rPr>
                <w:b w:val="0"/>
                <w:sz w:val="17"/>
              </w:rPr>
              <w:t>High</w:t>
            </w:r>
          </w:p>
        </w:tc>
        <w:tc>
          <w:tcPr>
            <w:tcW w:type="dxa" w:w="1728"/>
            <w:vAlign w:val="top"/>
          </w:tcPr>
          <w:p>
            <w:r/>
            <w:r>
              <w:rPr>
                <w:b w:val="0"/>
                <w:sz w:val="17"/>
              </w:rPr>
              <w:t>Site Manager</w:t>
            </w:r>
          </w:p>
        </w:tc>
        <w:tc>
          <w:tcPr>
            <w:tcW w:type="dxa" w:w="3456"/>
            <w:vAlign w:val="top"/>
          </w:tcPr>
          <w:p>
            <w:r/>
            <w:r>
              <w:rPr>
                <w:b w:val="0"/>
                <w:sz w:val="17"/>
              </w:rPr>
              <w:t>Approve generator or utility escalation plan.</w:t>
            </w:r>
          </w:p>
        </w:tc>
      </w:tr>
      <w:tr>
        <w:tc>
          <w:tcPr>
            <w:tcW w:type="dxa" w:w="504"/>
            <w:vAlign w:val="top"/>
          </w:tcPr>
          <w:p>
            <w:r/>
            <w:r>
              <w:rPr>
                <w:b w:val="0"/>
                <w:sz w:val="17"/>
              </w:rPr>
              <w:t>5</w:t>
            </w:r>
          </w:p>
        </w:tc>
        <w:tc>
          <w:tcPr>
            <w:tcW w:type="dxa" w:w="792"/>
            <w:vAlign w:val="top"/>
          </w:tcPr>
          <w:p>
            <w:r/>
            <w:r>
              <w:rPr>
                <w:b w:val="0"/>
                <w:sz w:val="17"/>
              </w:rPr>
              <w:t>Risk</w:t>
            </w:r>
          </w:p>
        </w:tc>
        <w:tc>
          <w:tcPr>
            <w:tcW w:type="dxa" w:w="3456"/>
            <w:vAlign w:val="top"/>
          </w:tcPr>
          <w:p>
            <w:r/>
            <w:r>
              <w:rPr>
                <w:b w:val="0"/>
                <w:sz w:val="17"/>
              </w:rPr>
              <w:t>Level 4 conference center change adds 18 days and USD 145k</w:t>
            </w:r>
          </w:p>
        </w:tc>
        <w:tc>
          <w:tcPr>
            <w:tcW w:type="dxa" w:w="1008"/>
            <w:vAlign w:val="top"/>
          </w:tcPr>
          <w:p>
            <w:r/>
            <w:r>
              <w:rPr>
                <w:b w:val="0"/>
                <w:sz w:val="17"/>
              </w:rPr>
              <w:t>High</w:t>
            </w:r>
          </w:p>
        </w:tc>
        <w:tc>
          <w:tcPr>
            <w:tcW w:type="dxa" w:w="1728"/>
            <w:vAlign w:val="top"/>
          </w:tcPr>
          <w:p>
            <w:r/>
            <w:r>
              <w:rPr>
                <w:b w:val="0"/>
                <w:sz w:val="17"/>
              </w:rPr>
              <w:t>Project Manager</w:t>
            </w:r>
          </w:p>
        </w:tc>
        <w:tc>
          <w:tcPr>
            <w:tcW w:type="dxa" w:w="3456"/>
            <w:vAlign w:val="top"/>
          </w:tcPr>
          <w:p>
            <w:r/>
            <w:r>
              <w:rPr>
                <w:b w:val="0"/>
                <w:sz w:val="17"/>
              </w:rPr>
              <w:t>Formal change control; defer to post-handover unless time/cost accepted.</w:t>
            </w:r>
          </w:p>
        </w:tc>
      </w:tr>
      <w:tr>
        <w:tc>
          <w:tcPr>
            <w:tcW w:type="dxa" w:w="504"/>
            <w:vAlign w:val="top"/>
          </w:tcPr>
          <w:p>
            <w:r/>
            <w:r>
              <w:rPr>
                <w:b w:val="0"/>
                <w:sz w:val="17"/>
              </w:rPr>
              <w:t>6</w:t>
            </w:r>
          </w:p>
        </w:tc>
        <w:tc>
          <w:tcPr>
            <w:tcW w:type="dxa" w:w="792"/>
            <w:vAlign w:val="top"/>
          </w:tcPr>
          <w:p>
            <w:r/>
            <w:r>
              <w:rPr>
                <w:b w:val="0"/>
                <w:sz w:val="17"/>
              </w:rPr>
              <w:t>Risk</w:t>
            </w:r>
          </w:p>
        </w:tc>
        <w:tc>
          <w:tcPr>
            <w:tcW w:type="dxa" w:w="3456"/>
            <w:vAlign w:val="top"/>
          </w:tcPr>
          <w:p>
            <w:r/>
            <w:r>
              <w:rPr>
                <w:b w:val="0"/>
                <w:sz w:val="17"/>
              </w:rPr>
              <w:t>Reinforcement steel price escalation</w:t>
            </w:r>
          </w:p>
        </w:tc>
        <w:tc>
          <w:tcPr>
            <w:tcW w:type="dxa" w:w="1008"/>
            <w:vAlign w:val="top"/>
          </w:tcPr>
          <w:p>
            <w:r/>
            <w:r>
              <w:rPr>
                <w:b w:val="0"/>
                <w:sz w:val="17"/>
              </w:rPr>
              <w:t>High</w:t>
            </w:r>
          </w:p>
        </w:tc>
        <w:tc>
          <w:tcPr>
            <w:tcW w:type="dxa" w:w="1728"/>
            <w:vAlign w:val="top"/>
          </w:tcPr>
          <w:p>
            <w:r/>
            <w:r>
              <w:rPr>
                <w:b w:val="0"/>
                <w:sz w:val="17"/>
              </w:rPr>
              <w:t>Commercial Manager</w:t>
            </w:r>
          </w:p>
        </w:tc>
        <w:tc>
          <w:tcPr>
            <w:tcW w:type="dxa" w:w="3456"/>
            <w:vAlign w:val="top"/>
          </w:tcPr>
          <w:p>
            <w:r/>
            <w:r>
              <w:rPr>
                <w:b w:val="0"/>
                <w:sz w:val="17"/>
              </w:rPr>
              <w:t>Lock quotation and issue PO.</w:t>
            </w:r>
          </w:p>
        </w:tc>
      </w:tr>
      <w:tr>
        <w:tc>
          <w:tcPr>
            <w:tcW w:type="dxa" w:w="504"/>
            <w:vAlign w:val="top"/>
          </w:tcPr>
          <w:p>
            <w:r/>
            <w:r>
              <w:rPr>
                <w:b w:val="0"/>
                <w:sz w:val="17"/>
              </w:rPr>
              <w:t>7</w:t>
            </w:r>
          </w:p>
        </w:tc>
        <w:tc>
          <w:tcPr>
            <w:tcW w:type="dxa" w:w="792"/>
            <w:vAlign w:val="top"/>
          </w:tcPr>
          <w:p>
            <w:r/>
            <w:r>
              <w:rPr>
                <w:b w:val="0"/>
                <w:sz w:val="17"/>
              </w:rPr>
              <w:t>Risk</w:t>
            </w:r>
          </w:p>
        </w:tc>
        <w:tc>
          <w:tcPr>
            <w:tcW w:type="dxa" w:w="3456"/>
            <w:vAlign w:val="top"/>
          </w:tcPr>
          <w:p>
            <w:r/>
            <w:r>
              <w:rPr>
                <w:b w:val="0"/>
                <w:sz w:val="17"/>
              </w:rPr>
              <w:t>Unexpected hard rock in excavation</w:t>
            </w:r>
          </w:p>
        </w:tc>
        <w:tc>
          <w:tcPr>
            <w:tcW w:type="dxa" w:w="1008"/>
            <w:vAlign w:val="top"/>
          </w:tcPr>
          <w:p>
            <w:r/>
            <w:r>
              <w:rPr>
                <w:b w:val="0"/>
                <w:sz w:val="17"/>
              </w:rPr>
              <w:t>High</w:t>
            </w:r>
          </w:p>
        </w:tc>
        <w:tc>
          <w:tcPr>
            <w:tcW w:type="dxa" w:w="1728"/>
            <w:vAlign w:val="top"/>
          </w:tcPr>
          <w:p>
            <w:r/>
            <w:r>
              <w:rPr>
                <w:b w:val="0"/>
                <w:sz w:val="17"/>
              </w:rPr>
              <w:t>Civil Manager</w:t>
            </w:r>
          </w:p>
        </w:tc>
        <w:tc>
          <w:tcPr>
            <w:tcW w:type="dxa" w:w="3456"/>
            <w:vAlign w:val="top"/>
          </w:tcPr>
          <w:p>
            <w:r/>
            <w:r>
              <w:rPr>
                <w:b w:val="0"/>
                <w:sz w:val="17"/>
              </w:rPr>
              <w:t>Confirm records; standby rock breaker and disposal route.</w:t>
            </w:r>
          </w:p>
        </w:tc>
      </w:tr>
      <w:tr>
        <w:tc>
          <w:tcPr>
            <w:tcW w:type="dxa" w:w="504"/>
            <w:vAlign w:val="top"/>
          </w:tcPr>
          <w:p>
            <w:r/>
            <w:r>
              <w:rPr>
                <w:b w:val="0"/>
                <w:sz w:val="17"/>
              </w:rPr>
              <w:t>8</w:t>
            </w:r>
          </w:p>
        </w:tc>
        <w:tc>
          <w:tcPr>
            <w:tcW w:type="dxa" w:w="792"/>
            <w:vAlign w:val="top"/>
          </w:tcPr>
          <w:p>
            <w:r/>
            <w:r>
              <w:rPr>
                <w:b w:val="0"/>
                <w:sz w:val="17"/>
              </w:rPr>
              <w:t>Risk</w:t>
            </w:r>
          </w:p>
        </w:tc>
        <w:tc>
          <w:tcPr>
            <w:tcW w:type="dxa" w:w="3456"/>
            <w:vAlign w:val="top"/>
          </w:tcPr>
          <w:p>
            <w:r/>
            <w:r>
              <w:rPr>
                <w:b w:val="0"/>
                <w:sz w:val="17"/>
              </w:rPr>
              <w:t>MEP coordination clashes delay first fix</w:t>
            </w:r>
          </w:p>
        </w:tc>
        <w:tc>
          <w:tcPr>
            <w:tcW w:type="dxa" w:w="1008"/>
            <w:vAlign w:val="top"/>
          </w:tcPr>
          <w:p>
            <w:r/>
            <w:r>
              <w:rPr>
                <w:b w:val="0"/>
                <w:sz w:val="17"/>
              </w:rPr>
              <w:t>High</w:t>
            </w:r>
          </w:p>
        </w:tc>
        <w:tc>
          <w:tcPr>
            <w:tcW w:type="dxa" w:w="1728"/>
            <w:vAlign w:val="top"/>
          </w:tcPr>
          <w:p>
            <w:r/>
            <w:r>
              <w:rPr>
                <w:b w:val="0"/>
                <w:sz w:val="17"/>
              </w:rPr>
              <w:t>BIM Manager</w:t>
            </w:r>
          </w:p>
        </w:tc>
        <w:tc>
          <w:tcPr>
            <w:tcW w:type="dxa" w:w="3456"/>
            <w:vAlign w:val="top"/>
          </w:tcPr>
          <w:p>
            <w:r/>
            <w:r>
              <w:rPr>
                <w:b w:val="0"/>
                <w:sz w:val="17"/>
              </w:rPr>
              <w:t>Weekly federated clash review and zone release.</w:t>
            </w:r>
          </w:p>
        </w:tc>
      </w:tr>
      <w:tr>
        <w:tc>
          <w:tcPr>
            <w:tcW w:type="dxa" w:w="504"/>
            <w:vAlign w:val="top"/>
          </w:tcPr>
          <w:p>
            <w:r/>
            <w:r>
              <w:rPr>
                <w:b w:val="0"/>
                <w:sz w:val="17"/>
              </w:rPr>
              <w:t>9</w:t>
            </w:r>
          </w:p>
        </w:tc>
        <w:tc>
          <w:tcPr>
            <w:tcW w:type="dxa" w:w="792"/>
            <w:vAlign w:val="top"/>
          </w:tcPr>
          <w:p>
            <w:r/>
            <w:r>
              <w:rPr>
                <w:b w:val="0"/>
                <w:sz w:val="17"/>
              </w:rPr>
              <w:t>Risk</w:t>
            </w:r>
          </w:p>
        </w:tc>
        <w:tc>
          <w:tcPr>
            <w:tcW w:type="dxa" w:w="3456"/>
            <w:vAlign w:val="top"/>
          </w:tcPr>
          <w:p>
            <w:r/>
            <w:r>
              <w:rPr>
                <w:b w:val="0"/>
                <w:sz w:val="17"/>
              </w:rPr>
              <w:t>Finish selections / room data sheets delayed</w:t>
            </w:r>
          </w:p>
        </w:tc>
        <w:tc>
          <w:tcPr>
            <w:tcW w:type="dxa" w:w="1008"/>
            <w:vAlign w:val="top"/>
          </w:tcPr>
          <w:p>
            <w:r/>
            <w:r>
              <w:rPr>
                <w:b w:val="0"/>
                <w:sz w:val="17"/>
              </w:rPr>
              <w:t>High</w:t>
            </w:r>
          </w:p>
        </w:tc>
        <w:tc>
          <w:tcPr>
            <w:tcW w:type="dxa" w:w="1728"/>
            <w:vAlign w:val="top"/>
          </w:tcPr>
          <w:p>
            <w:r/>
            <w:r>
              <w:rPr>
                <w:b w:val="0"/>
                <w:sz w:val="17"/>
              </w:rPr>
              <w:t>Architect / PM</w:t>
            </w:r>
          </w:p>
        </w:tc>
        <w:tc>
          <w:tcPr>
            <w:tcW w:type="dxa" w:w="3456"/>
            <w:vAlign w:val="top"/>
          </w:tcPr>
          <w:p>
            <w:r/>
            <w:r>
              <w:rPr>
                <w:b w:val="0"/>
                <w:sz w:val="17"/>
              </w:rPr>
              <w:t>Decision schedule and mock-ups.</w:t>
            </w:r>
          </w:p>
        </w:tc>
      </w:tr>
      <w:tr>
        <w:tc>
          <w:tcPr>
            <w:tcW w:type="dxa" w:w="504"/>
            <w:vAlign w:val="top"/>
          </w:tcPr>
          <w:p>
            <w:r/>
            <w:r>
              <w:rPr>
                <w:b w:val="0"/>
                <w:sz w:val="17"/>
              </w:rPr>
              <w:t>10</w:t>
            </w:r>
          </w:p>
        </w:tc>
        <w:tc>
          <w:tcPr>
            <w:tcW w:type="dxa" w:w="792"/>
            <w:vAlign w:val="top"/>
          </w:tcPr>
          <w:p>
            <w:r/>
            <w:r>
              <w:rPr>
                <w:b w:val="0"/>
                <w:sz w:val="17"/>
              </w:rPr>
              <w:t>Risk</w:t>
            </w:r>
          </w:p>
        </w:tc>
        <w:tc>
          <w:tcPr>
            <w:tcW w:type="dxa" w:w="3456"/>
            <w:vAlign w:val="top"/>
          </w:tcPr>
          <w:p>
            <w:r/>
            <w:r>
              <w:rPr>
                <w:b w:val="0"/>
                <w:sz w:val="17"/>
              </w:rPr>
              <w:t>Commissioning/as-built records incomplete</w:t>
            </w:r>
          </w:p>
        </w:tc>
        <w:tc>
          <w:tcPr>
            <w:tcW w:type="dxa" w:w="1008"/>
            <w:vAlign w:val="top"/>
          </w:tcPr>
          <w:p>
            <w:r/>
            <w:r>
              <w:rPr>
                <w:b w:val="0"/>
                <w:sz w:val="17"/>
              </w:rPr>
              <w:t>Medium</w:t>
            </w:r>
          </w:p>
        </w:tc>
        <w:tc>
          <w:tcPr>
            <w:tcW w:type="dxa" w:w="1728"/>
            <w:vAlign w:val="top"/>
          </w:tcPr>
          <w:p>
            <w:r/>
            <w:r>
              <w:rPr>
                <w:b w:val="0"/>
                <w:sz w:val="17"/>
              </w:rPr>
              <w:t>Commissioning Manager</w:t>
            </w:r>
          </w:p>
        </w:tc>
        <w:tc>
          <w:tcPr>
            <w:tcW w:type="dxa" w:w="3456"/>
            <w:vAlign w:val="top"/>
          </w:tcPr>
          <w:p>
            <w:r/>
            <w:r>
              <w:rPr>
                <w:b w:val="0"/>
                <w:sz w:val="17"/>
              </w:rPr>
              <w:t>Start commissioning tracker now; package-by-package evidence.</w:t>
            </w:r>
          </w:p>
        </w:tc>
      </w:tr>
    </w:tbl>
    <w:p>
      <w:pPr>
        <w:sectPr>
          <w:pgSz w:w="12240" w:h="15840"/>
          <w:pgMar w:top="792" w:right="792" w:bottom="792" w:left="792" w:header="720" w:footer="720" w:gutter="0"/>
          <w:cols w:space="720"/>
          <w:docGrid w:linePitch="360"/>
        </w:sectPr>
      </w:pPr>
    </w:p>
    <w:p>
      <w:pPr>
        <w:jc w:val="center"/>
      </w:pPr>
      <w:r>
        <w:rPr>
          <w:b/>
          <w:color w:val="1F4E79"/>
          <w:sz w:val="32"/>
        </w:rPr>
        <w:t>7. One-Page Management Report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400"/>
        <w:gridCol w:w="5400"/>
      </w:tblGrid>
      <w:tr>
        <w:tc>
          <w:tcPr>
            <w:tcW w:type="dxa" w:w="2088"/>
            <w:shd w:fill="1F4E79"/>
          </w:tcPr>
          <w:p>
            <w:r/>
            <w:r>
              <w:rPr>
                <w:b/>
                <w:color w:val="FFFFFF"/>
                <w:sz w:val="17"/>
              </w:rPr>
              <w:t>Topic</w:t>
            </w:r>
          </w:p>
        </w:tc>
        <w:tc>
          <w:tcPr>
            <w:tcW w:type="dxa" w:w="8496"/>
            <w:shd w:fill="1F4E79"/>
          </w:tcPr>
          <w:p>
            <w:r/>
            <w:r>
              <w:rPr>
                <w:b/>
                <w:color w:val="FFFFFF"/>
                <w:sz w:val="17"/>
              </w:rPr>
              <w:t>Management message</w:t>
            </w:r>
          </w:p>
        </w:tc>
      </w:tr>
      <w:tr>
        <w:tc>
          <w:tcPr>
            <w:tcW w:type="dxa" w:w="2088"/>
            <w:vAlign w:val="top"/>
          </w:tcPr>
          <w:p>
            <w:r/>
            <w:r>
              <w:rPr>
                <w:b w:val="0"/>
                <w:sz w:val="17"/>
              </w:rPr>
              <w:t>Overall status</w:t>
            </w:r>
          </w:p>
        </w:tc>
        <w:tc>
          <w:tcPr>
            <w:tcW w:type="dxa" w:w="8496"/>
            <w:vAlign w:val="top"/>
          </w:tcPr>
          <w:p>
            <w:r/>
            <w:r>
              <w:rPr>
                <w:b w:val="0"/>
                <w:sz w:val="17"/>
              </w:rPr>
              <w:t>RED: Current programme misses target by 21 days; cost forecast is USD 167k over budget before unapproved changes.</w:t>
            </w:r>
          </w:p>
        </w:tc>
      </w:tr>
      <w:tr>
        <w:tc>
          <w:tcPr>
            <w:tcW w:type="dxa" w:w="2088"/>
            <w:vAlign w:val="top"/>
          </w:tcPr>
          <w:p>
            <w:r/>
            <w:r>
              <w:rPr>
                <w:b w:val="0"/>
                <w:sz w:val="17"/>
              </w:rPr>
              <w:t>Required decisions</w:t>
            </w:r>
          </w:p>
        </w:tc>
        <w:tc>
          <w:tcPr>
            <w:tcW w:type="dxa" w:w="8496"/>
            <w:vAlign w:val="top"/>
          </w:tcPr>
          <w:p>
            <w:r/>
            <w:r>
              <w:rPr>
                <w:b w:val="0"/>
                <w:sz w:val="17"/>
              </w:rPr>
              <w:t>Approve generator strategy; freeze chiller capacity; decide façade glazing upgrade; decide whether Level 4 conference center is in base handover or later tenant fit-out.</w:t>
            </w:r>
          </w:p>
        </w:tc>
      </w:tr>
      <w:tr>
        <w:tc>
          <w:tcPr>
            <w:tcW w:type="dxa" w:w="2088"/>
            <w:vAlign w:val="top"/>
          </w:tcPr>
          <w:p>
            <w:r/>
            <w:r>
              <w:rPr>
                <w:b w:val="0"/>
                <w:sz w:val="17"/>
              </w:rPr>
              <w:t>Recommended plan</w:t>
            </w:r>
          </w:p>
        </w:tc>
        <w:tc>
          <w:tcPr>
            <w:tcW w:type="dxa" w:w="8496"/>
            <w:vAlign w:val="top"/>
          </w:tcPr>
          <w:p>
            <w:r/>
            <w:r>
              <w:rPr>
                <w:b w:val="0"/>
                <w:sz w:val="17"/>
              </w:rPr>
              <w:t>Adopt controlled acceleration immediately: generator + resequencing + façade/MEP task force + zonal commissioning. Protect completion by deferring unapproved Level 4 change unless client accepts time/cost impact.</w:t>
            </w:r>
          </w:p>
        </w:tc>
      </w:tr>
      <w:tr>
        <w:tc>
          <w:tcPr>
            <w:tcW w:type="dxa" w:w="2088"/>
            <w:vAlign w:val="top"/>
          </w:tcPr>
          <w:p>
            <w:r/>
            <w:r>
              <w:rPr>
                <w:b w:val="0"/>
                <w:sz w:val="17"/>
              </w:rPr>
              <w:t>Cost position</w:t>
            </w:r>
          </w:p>
        </w:tc>
        <w:tc>
          <w:tcPr>
            <w:tcW w:type="dxa" w:w="8496"/>
            <w:vAlign w:val="top"/>
          </w:tcPr>
          <w:p>
            <w:r/>
            <w:r>
              <w:rPr>
                <w:b w:val="0"/>
                <w:sz w:val="17"/>
              </w:rPr>
              <w:t>Base forecast USD 5.017m vs USD 4.850m budget. If all listed CRs are approved, forecast exposure rises to about USD 5.265m, USD 415k above original budget.</w:t>
            </w:r>
          </w:p>
        </w:tc>
      </w:tr>
      <w:tr>
        <w:tc>
          <w:tcPr>
            <w:tcW w:type="dxa" w:w="2088"/>
            <w:vAlign w:val="top"/>
          </w:tcPr>
          <w:p>
            <w:r/>
            <w:r>
              <w:rPr>
                <w:b w:val="0"/>
                <w:sz w:val="17"/>
              </w:rPr>
              <w:t>Procurement focus</w:t>
            </w:r>
          </w:p>
        </w:tc>
        <w:tc>
          <w:tcPr>
            <w:tcW w:type="dxa" w:w="8496"/>
            <w:vAlign w:val="top"/>
          </w:tcPr>
          <w:p>
            <w:r/>
            <w:r>
              <w:rPr>
                <w:b w:val="0"/>
                <w:sz w:val="17"/>
              </w:rPr>
              <w:t>Façade/glazing, chillers/AHUs, elevators and reinforcement steel are the first four priorities.</w:t>
            </w:r>
          </w:p>
        </w:tc>
      </w:tr>
      <w:tr>
        <w:tc>
          <w:tcPr>
            <w:tcW w:type="dxa" w:w="2088"/>
            <w:vAlign w:val="top"/>
          </w:tcPr>
          <w:p>
            <w:r/>
            <w:r>
              <w:rPr>
                <w:b w:val="0"/>
                <w:sz w:val="17"/>
              </w:rPr>
              <w:t>Next 14 days</w:t>
            </w:r>
          </w:p>
        </w:tc>
        <w:tc>
          <w:tcPr>
            <w:tcW w:type="dxa" w:w="8496"/>
            <w:vAlign w:val="top"/>
          </w:tcPr>
          <w:p>
            <w:r/>
            <w:r>
              <w:rPr>
                <w:b w:val="0"/>
                <w:sz w:val="17"/>
              </w:rPr>
              <w:t>Issue recovery programme; place/lock critical procurement; complete design decision log; run weekly risk/decision meeting; report recovered days and cost drawdown.</w:t>
            </w:r>
          </w:p>
        </w:tc>
      </w:tr>
    </w:tbl>
    <w:p>
      <w:r>
        <w:rPr>
          <w:i/>
          <w:sz w:val="16"/>
        </w:rPr>
        <w:t>Note: Figures and dates are based only on supplied project files. Unapproved changes are shown as exposure, not approved scope.</w:t>
      </w:r>
    </w:p>
    <w:sectPr w:rsidR="00FC693F" w:rsidRPr="0006063C" w:rsidSect="00034616">
      <w:pgSz w:w="12240" w:h="15840"/>
      <w:pgMar w:top="648" w:right="720" w:bottom="648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18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F4E7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F4E7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F4E7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