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80"/>
      </w:pPr>
      <w:r>
        <w:rPr>
          <w:b/>
          <w:bCs/>
          <w:color w:val="1E2761"/>
          <w:sz w:val="32"/>
          <w:szCs w:val="32"/>
        </w:rPr>
        <w:t xml:space="preserve">Warehouse and Inventory Operations - Internal Audit Report</w:t>
      </w:r>
    </w:p>
    <w:p>
      <w:pPr>
        <w:spacing w:after="240"/>
      </w:pPr>
      <w:r>
        <w:rPr>
          <w:i/>
          <w:iCs/>
          <w:color w:val="595959"/>
          <w:sz w:val="20"/>
          <w:szCs w:val="20"/>
        </w:rPr>
        <w:t xml:space="preserve">Cedrus Trading SAL  |  Prepared by: Internal Audit Function  |  Q4 2025  |  Distribution: CFO, Operations Director, Board</w:t>
      </w:r>
    </w:p>
    <w:p>
      <w:pPr>
        <w:pStyle w:val="Heading1"/>
        <w:spacing w:after="120" w:before="280"/>
      </w:pPr>
      <w:r>
        <w:rPr>
          <w:b/>
          <w:bCs/>
          <w:color w:val="1E2761"/>
          <w:sz w:val="26"/>
          <w:szCs w:val="26"/>
        </w:rPr>
        <w:t xml:space="preserve">1. Executive Summary</w:t>
      </w:r>
    </w:p>
    <w:p>
      <w:pPr>
        <w:spacing w:after="160"/>
        <w:jc w:val="left"/>
      </w:pPr>
      <w:r>
        <w:rPr>
          <w:b w:val="false"/>
          <w:bCs w:val="false"/>
          <w:i w:val="false"/>
          <w:iCs w:val="false"/>
          <w:sz w:val="22"/>
          <w:szCs w:val="22"/>
        </w:rPr>
        <w:t xml:space="preserve">This report covers the internal audit of warehouse and inventory operations across all five Cedrus Trading branches (Sin el Fil, Hamra, Tripoli, Saida, Zahle), carried out between 6 and 24 October 2025. The audit found stock count accuracy below the Group's 98% policy target at two branches, an unexplained reconciliation difference of USD 108,400 between the perpetual inventory system and the physical count, and no obsolescence provision recorded against slow-moving stock since 2023. Three findings are rated high severity and are summarised in Section 2. Detailed findings, root causes and recommendations follow in Sections 3 to 10.</w:t>
      </w:r>
    </w:p>
    <w:p>
      <w:pPr>
        <w:pStyle w:val="Heading1"/>
        <w:spacing w:after="120" w:before="280"/>
      </w:pPr>
      <w:r>
        <w:rPr>
          <w:b/>
          <w:bCs/>
          <w:color w:val="1E2761"/>
          <w:sz w:val="26"/>
          <w:szCs w:val="26"/>
        </w:rPr>
        <w:t xml:space="preserve">2. Findings That Matter Most</w:t>
      </w:r>
    </w:p>
    <w:p>
      <w:pPr>
        <w:pStyle w:val="ListParagraph"/>
        <w:numPr>
          <w:ilvl w:val="0"/>
          <w:numId w:val="2"/>
        </w:numPr>
        <w:spacing w:after="100"/>
      </w:pPr>
      <w:r>
        <w:rPr>
          <w:b w:val="false"/>
          <w:bCs w:val="false"/>
          <w:sz w:val="22"/>
          <w:szCs w:val="22"/>
        </w:rPr>
        <w:t xml:space="preserve">Stock count accuracy below policy target at Sin el Fil (91.4%) and Zahle (84.2%), against a Group policy target of 98%. See Section 4.</w:t>
      </w:r>
    </w:p>
    <w:p>
      <w:pPr>
        <w:pStyle w:val="ListParagraph"/>
        <w:numPr>
          <w:ilvl w:val="0"/>
          <w:numId w:val="2"/>
        </w:numPr>
        <w:spacing w:after="100"/>
      </w:pPr>
      <w:r>
        <w:rPr>
          <w:b w:val="false"/>
          <w:bCs w:val="false"/>
          <w:sz w:val="22"/>
          <w:szCs w:val="22"/>
        </w:rPr>
        <w:t xml:space="preserve">An unexplained reconciliation difference of USD 108,400 between the perpetual inventory ledger and the October physical count, concentrated in the Zahle and Tripoli warehouses. See Section 5.</w:t>
      </w:r>
    </w:p>
    <w:p>
      <w:pPr>
        <w:pStyle w:val="ListParagraph"/>
        <w:numPr>
          <w:ilvl w:val="0"/>
          <w:numId w:val="2"/>
        </w:numPr>
        <w:spacing w:after="100"/>
      </w:pPr>
      <w:r>
        <w:rPr>
          <w:b w:val="false"/>
          <w:bCs w:val="false"/>
          <w:sz w:val="22"/>
          <w:szCs w:val="22"/>
        </w:rPr>
        <w:t xml:space="preserve">No obsolescence provision has been recorded against slow-moving and dead stock since 2023, despite an estimated USD 149,000 of stock meeting the Group's own obsolescence criteria. See Section 6.</w:t>
      </w:r>
    </w:p>
    <w:p>
      <w:pPr>
        <w:pStyle w:val="Heading1"/>
        <w:spacing w:after="120" w:before="280"/>
      </w:pPr>
      <w:r>
        <w:rPr>
          <w:b/>
          <w:bCs/>
          <w:color w:val="1E2761"/>
          <w:sz w:val="26"/>
          <w:szCs w:val="26"/>
        </w:rPr>
        <w:t xml:space="preserve">3. Scope and Methodology</w:t>
      </w:r>
    </w:p>
    <w:p>
      <w:pPr>
        <w:spacing w:after="160"/>
        <w:jc w:val="left"/>
      </w:pPr>
      <w:r>
        <w:rPr>
          <w:b w:val="false"/>
          <w:bCs w:val="false"/>
          <w:i w:val="false"/>
          <w:iCs w:val="false"/>
          <w:sz w:val="22"/>
          <w:szCs w:val="22"/>
        </w:rPr>
        <w:t xml:space="preserve">The audit covered physical stock counts, perpetual inventory records, goods-in and goods-out documentation, and segregation of duties across warehouse operations at all five branches. Fieldwork combined a full physical count at Sin el Fil and Zahle with sample counts at Hamra, Tripoli and Saida, reconciled against the Cedrus ERP perpetual inventory module. This is an internal audit conducted under the authority of the Audit Committee; it is not a statutory or external audit opinion.</w:t>
      </w:r>
    </w:p>
    <w:p>
      <w:pPr>
        <w:pStyle w:val="Heading1"/>
        <w:spacing w:after="120" w:before="280"/>
      </w:pPr>
      <w:r>
        <w:rPr>
          <w:b/>
          <w:bCs/>
          <w:color w:val="1E2761"/>
          <w:sz w:val="26"/>
          <w:szCs w:val="26"/>
        </w:rPr>
        <w:t xml:space="preserve">4. Stock Count Accuracy</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980"/>
        <w:gridCol w:w="1800"/>
        <w:gridCol w:w="2340"/>
        <w:gridCol w:w="1800"/>
      </w:tblGrid>
      <w:tr>
        <w:trPr>
          <w:tblHeader/>
        </w:trPr>
        <w:tc>
          <w:tcPr>
            <w:tcW w:type="pct" w:w="22%"/>
            <w:shd w:fill="1E2761" w:val="clear"/>
            <w:tcMar>
              <w:top w:type="dxa" w:w="80"/>
              <w:left w:type="dxa" w:w="100"/>
              <w:bottom w:type="dxa" w:w="80"/>
              <w:right w:type="dxa" w:w="100"/>
            </w:tcMar>
          </w:tcPr>
          <w:p>
            <w:r>
              <w:rPr>
                <w:b/>
                <w:bCs/>
                <w:i w:val="false"/>
                <w:iCs w:val="false"/>
                <w:color w:val="FFFFFF"/>
                <w:sz w:val="20"/>
                <w:szCs w:val="20"/>
              </w:rPr>
              <w:t xml:space="preserve">Branch</w:t>
            </w:r>
          </w:p>
        </w:tc>
        <w:tc>
          <w:tcPr>
            <w:tcW w:type="pct" w:w="20%"/>
            <w:shd w:fill="1E2761" w:val="clear"/>
            <w:tcMar>
              <w:top w:type="dxa" w:w="80"/>
              <w:left w:type="dxa" w:w="100"/>
              <w:bottom w:type="dxa" w:w="80"/>
              <w:right w:type="dxa" w:w="100"/>
            </w:tcMar>
          </w:tcPr>
          <w:p>
            <w:r>
              <w:rPr>
                <w:b/>
                <w:bCs/>
                <w:i w:val="false"/>
                <w:iCs w:val="false"/>
                <w:color w:val="FFFFFF"/>
                <w:sz w:val="20"/>
                <w:szCs w:val="20"/>
              </w:rPr>
              <w:t xml:space="preserve">Policy Target</w:t>
            </w:r>
          </w:p>
        </w:tc>
        <w:tc>
          <w:tcPr>
            <w:tcW w:type="pct" w:w="26%"/>
            <w:shd w:fill="1E2761" w:val="clear"/>
            <w:tcMar>
              <w:top w:type="dxa" w:w="80"/>
              <w:left w:type="dxa" w:w="100"/>
              <w:bottom w:type="dxa" w:w="80"/>
              <w:right w:type="dxa" w:w="100"/>
            </w:tcMar>
          </w:tcPr>
          <w:p>
            <w:r>
              <w:rPr>
                <w:b/>
                <w:bCs/>
                <w:i w:val="false"/>
                <w:iCs w:val="false"/>
                <w:color w:val="FFFFFF"/>
                <w:sz w:val="20"/>
                <w:szCs w:val="20"/>
              </w:rPr>
              <w:t xml:space="preserve">Count Accuracy Achieved</w:t>
            </w:r>
          </w:p>
        </w:tc>
        <w:tc>
          <w:tcPr>
            <w:tcW w:type="pct" w:w="20%"/>
            <w:shd w:fill="1E2761" w:val="clear"/>
            <w:tcMar>
              <w:top w:type="dxa" w:w="80"/>
              <w:left w:type="dxa" w:w="100"/>
              <w:bottom w:type="dxa" w:w="80"/>
              <w:right w:type="dxa" w:w="100"/>
            </w:tcMar>
          </w:tcPr>
          <w:p>
            <w:r>
              <w:rPr>
                <w:b/>
                <w:bCs/>
                <w:i w:val="false"/>
                <w:iCs w:val="false"/>
                <w:color w:val="FFFFFF"/>
                <w:sz w:val="20"/>
                <w:szCs w:val="20"/>
              </w:rPr>
              <w:t xml:space="preserve">Variance to Target</w:t>
            </w:r>
          </w:p>
        </w:tc>
      </w:tr>
      <w:tr>
        <w:tc>
          <w:tcPr>
            <w:tcW w:type="pct" w:w="22%"/>
            <w:tcMar>
              <w:top w:type="dxa" w:w="80"/>
              <w:left w:type="dxa" w:w="100"/>
              <w:bottom w:type="dxa" w:w="80"/>
              <w:right w:type="dxa" w:w="100"/>
            </w:tcMar>
          </w:tcPr>
          <w:p>
            <w:r>
              <w:rPr>
                <w:b w:val="false"/>
                <w:bCs w:val="false"/>
                <w:i w:val="false"/>
                <w:iCs w:val="false"/>
                <w:sz w:val="20"/>
                <w:szCs w:val="20"/>
              </w:rPr>
              <w:t xml:space="preserve">Sin el Fil</w:t>
            </w:r>
          </w:p>
        </w:tc>
        <w:tc>
          <w:tcPr>
            <w:tcW w:type="pct" w:w="20%"/>
            <w:tcMar>
              <w:top w:type="dxa" w:w="80"/>
              <w:left w:type="dxa" w:w="100"/>
              <w:bottom w:type="dxa" w:w="80"/>
              <w:right w:type="dxa" w:w="100"/>
            </w:tcMar>
          </w:tcPr>
          <w:p>
            <w:r>
              <w:rPr>
                <w:b w:val="false"/>
                <w:bCs w:val="false"/>
                <w:i w:val="false"/>
                <w:iCs w:val="false"/>
                <w:sz w:val="20"/>
                <w:szCs w:val="20"/>
              </w:rPr>
              <w:t xml:space="preserve">98.0%</w:t>
            </w:r>
          </w:p>
        </w:tc>
        <w:tc>
          <w:tcPr>
            <w:tcW w:type="pct" w:w="26%"/>
            <w:tcMar>
              <w:top w:type="dxa" w:w="80"/>
              <w:left w:type="dxa" w:w="100"/>
              <w:bottom w:type="dxa" w:w="80"/>
              <w:right w:type="dxa" w:w="100"/>
            </w:tcMar>
          </w:tcPr>
          <w:p>
            <w:r>
              <w:rPr>
                <w:b w:val="false"/>
                <w:bCs w:val="false"/>
                <w:i w:val="false"/>
                <w:iCs w:val="false"/>
                <w:sz w:val="20"/>
                <w:szCs w:val="20"/>
              </w:rPr>
              <w:t xml:space="preserve">91.4%</w:t>
            </w:r>
          </w:p>
        </w:tc>
        <w:tc>
          <w:tcPr>
            <w:tcW w:type="pct" w:w="20%"/>
            <w:tcMar>
              <w:top w:type="dxa" w:w="80"/>
              <w:left w:type="dxa" w:w="100"/>
              <w:bottom w:type="dxa" w:w="80"/>
              <w:right w:type="dxa" w:w="100"/>
            </w:tcMar>
          </w:tcPr>
          <w:p>
            <w:r>
              <w:rPr>
                <w:b w:val="false"/>
                <w:bCs w:val="false"/>
                <w:i w:val="false"/>
                <w:iCs w:val="false"/>
                <w:sz w:val="20"/>
                <w:szCs w:val="20"/>
              </w:rPr>
              <w:t xml:space="preserve">-6.6 pts</w:t>
            </w:r>
          </w:p>
        </w:tc>
      </w:tr>
      <w:tr>
        <w:tc>
          <w:tcPr>
            <w:tcW w:type="pct" w:w="22%"/>
            <w:tcMar>
              <w:top w:type="dxa" w:w="80"/>
              <w:left w:type="dxa" w:w="100"/>
              <w:bottom w:type="dxa" w:w="80"/>
              <w:right w:type="dxa" w:w="100"/>
            </w:tcMar>
          </w:tcPr>
          <w:p>
            <w:r>
              <w:rPr>
                <w:b w:val="false"/>
                <w:bCs w:val="false"/>
                <w:i w:val="false"/>
                <w:iCs w:val="false"/>
                <w:sz w:val="20"/>
                <w:szCs w:val="20"/>
              </w:rPr>
              <w:t xml:space="preserve">Hamra</w:t>
            </w:r>
          </w:p>
        </w:tc>
        <w:tc>
          <w:tcPr>
            <w:tcW w:type="pct" w:w="20%"/>
            <w:tcMar>
              <w:top w:type="dxa" w:w="80"/>
              <w:left w:type="dxa" w:w="100"/>
              <w:bottom w:type="dxa" w:w="80"/>
              <w:right w:type="dxa" w:w="100"/>
            </w:tcMar>
          </w:tcPr>
          <w:p>
            <w:r>
              <w:rPr>
                <w:b w:val="false"/>
                <w:bCs w:val="false"/>
                <w:i w:val="false"/>
                <w:iCs w:val="false"/>
                <w:sz w:val="20"/>
                <w:szCs w:val="20"/>
              </w:rPr>
              <w:t xml:space="preserve">98.0%</w:t>
            </w:r>
          </w:p>
        </w:tc>
        <w:tc>
          <w:tcPr>
            <w:tcW w:type="pct" w:w="26%"/>
            <w:tcMar>
              <w:top w:type="dxa" w:w="80"/>
              <w:left w:type="dxa" w:w="100"/>
              <w:bottom w:type="dxa" w:w="80"/>
              <w:right w:type="dxa" w:w="100"/>
            </w:tcMar>
          </w:tcPr>
          <w:p>
            <w:r>
              <w:rPr>
                <w:b w:val="false"/>
                <w:bCs w:val="false"/>
                <w:i w:val="false"/>
                <w:iCs w:val="false"/>
                <w:sz w:val="20"/>
                <w:szCs w:val="20"/>
              </w:rPr>
              <w:t xml:space="preserve">97.1%</w:t>
            </w:r>
          </w:p>
        </w:tc>
        <w:tc>
          <w:tcPr>
            <w:tcW w:type="pct" w:w="20%"/>
            <w:tcMar>
              <w:top w:type="dxa" w:w="80"/>
              <w:left w:type="dxa" w:w="100"/>
              <w:bottom w:type="dxa" w:w="80"/>
              <w:right w:type="dxa" w:w="100"/>
            </w:tcMar>
          </w:tcPr>
          <w:p>
            <w:r>
              <w:rPr>
                <w:b w:val="false"/>
                <w:bCs w:val="false"/>
                <w:i w:val="false"/>
                <w:iCs w:val="false"/>
                <w:sz w:val="20"/>
                <w:szCs w:val="20"/>
              </w:rPr>
              <w:t xml:space="preserve">-0.9 pts</w:t>
            </w:r>
          </w:p>
        </w:tc>
      </w:tr>
      <w:tr>
        <w:tc>
          <w:tcPr>
            <w:tcW w:type="pct" w:w="22%"/>
            <w:tcMar>
              <w:top w:type="dxa" w:w="80"/>
              <w:left w:type="dxa" w:w="100"/>
              <w:bottom w:type="dxa" w:w="80"/>
              <w:right w:type="dxa" w:w="100"/>
            </w:tcMar>
          </w:tcPr>
          <w:p>
            <w:r>
              <w:rPr>
                <w:b w:val="false"/>
                <w:bCs w:val="false"/>
                <w:i w:val="false"/>
                <w:iCs w:val="false"/>
                <w:sz w:val="20"/>
                <w:szCs w:val="20"/>
              </w:rPr>
              <w:t xml:space="preserve">Tripoli</w:t>
            </w:r>
          </w:p>
        </w:tc>
        <w:tc>
          <w:tcPr>
            <w:tcW w:type="pct" w:w="20%"/>
            <w:tcMar>
              <w:top w:type="dxa" w:w="80"/>
              <w:left w:type="dxa" w:w="100"/>
              <w:bottom w:type="dxa" w:w="80"/>
              <w:right w:type="dxa" w:w="100"/>
            </w:tcMar>
          </w:tcPr>
          <w:p>
            <w:r>
              <w:rPr>
                <w:b w:val="false"/>
                <w:bCs w:val="false"/>
                <w:i w:val="false"/>
                <w:iCs w:val="false"/>
                <w:sz w:val="20"/>
                <w:szCs w:val="20"/>
              </w:rPr>
              <w:t xml:space="preserve">98.0%</w:t>
            </w:r>
          </w:p>
        </w:tc>
        <w:tc>
          <w:tcPr>
            <w:tcW w:type="pct" w:w="26%"/>
            <w:tcMar>
              <w:top w:type="dxa" w:w="80"/>
              <w:left w:type="dxa" w:w="100"/>
              <w:bottom w:type="dxa" w:w="80"/>
              <w:right w:type="dxa" w:w="100"/>
            </w:tcMar>
          </w:tcPr>
          <w:p>
            <w:r>
              <w:rPr>
                <w:b w:val="false"/>
                <w:bCs w:val="false"/>
                <w:i w:val="false"/>
                <w:iCs w:val="false"/>
                <w:sz w:val="20"/>
                <w:szCs w:val="20"/>
              </w:rPr>
              <w:t xml:space="preserve">96.8%</w:t>
            </w:r>
          </w:p>
        </w:tc>
        <w:tc>
          <w:tcPr>
            <w:tcW w:type="pct" w:w="20%"/>
            <w:tcMar>
              <w:top w:type="dxa" w:w="80"/>
              <w:left w:type="dxa" w:w="100"/>
              <w:bottom w:type="dxa" w:w="80"/>
              <w:right w:type="dxa" w:w="100"/>
            </w:tcMar>
          </w:tcPr>
          <w:p>
            <w:r>
              <w:rPr>
                <w:b w:val="false"/>
                <w:bCs w:val="false"/>
                <w:i w:val="false"/>
                <w:iCs w:val="false"/>
                <w:sz w:val="20"/>
                <w:szCs w:val="20"/>
              </w:rPr>
              <w:t xml:space="preserve">-1.2 pts</w:t>
            </w:r>
          </w:p>
        </w:tc>
      </w:tr>
      <w:tr>
        <w:tc>
          <w:tcPr>
            <w:tcW w:type="pct" w:w="22%"/>
            <w:tcMar>
              <w:top w:type="dxa" w:w="80"/>
              <w:left w:type="dxa" w:w="100"/>
              <w:bottom w:type="dxa" w:w="80"/>
              <w:right w:type="dxa" w:w="100"/>
            </w:tcMar>
          </w:tcPr>
          <w:p>
            <w:r>
              <w:rPr>
                <w:b w:val="false"/>
                <w:bCs w:val="false"/>
                <w:i w:val="false"/>
                <w:iCs w:val="false"/>
                <w:sz w:val="20"/>
                <w:szCs w:val="20"/>
              </w:rPr>
              <w:t xml:space="preserve">Saida</w:t>
            </w:r>
          </w:p>
        </w:tc>
        <w:tc>
          <w:tcPr>
            <w:tcW w:type="pct" w:w="20%"/>
            <w:tcMar>
              <w:top w:type="dxa" w:w="80"/>
              <w:left w:type="dxa" w:w="100"/>
              <w:bottom w:type="dxa" w:w="80"/>
              <w:right w:type="dxa" w:w="100"/>
            </w:tcMar>
          </w:tcPr>
          <w:p>
            <w:r>
              <w:rPr>
                <w:b w:val="false"/>
                <w:bCs w:val="false"/>
                <w:i w:val="false"/>
                <w:iCs w:val="false"/>
                <w:sz w:val="20"/>
                <w:szCs w:val="20"/>
              </w:rPr>
              <w:t xml:space="preserve">98.0%</w:t>
            </w:r>
          </w:p>
        </w:tc>
        <w:tc>
          <w:tcPr>
            <w:tcW w:type="pct" w:w="26%"/>
            <w:tcMar>
              <w:top w:type="dxa" w:w="80"/>
              <w:left w:type="dxa" w:w="100"/>
              <w:bottom w:type="dxa" w:w="80"/>
              <w:right w:type="dxa" w:w="100"/>
            </w:tcMar>
          </w:tcPr>
          <w:p>
            <w:r>
              <w:rPr>
                <w:b w:val="false"/>
                <w:bCs w:val="false"/>
                <w:i w:val="false"/>
                <w:iCs w:val="false"/>
                <w:sz w:val="20"/>
                <w:szCs w:val="20"/>
              </w:rPr>
              <w:t xml:space="preserve">95.9%</w:t>
            </w:r>
          </w:p>
        </w:tc>
        <w:tc>
          <w:tcPr>
            <w:tcW w:type="pct" w:w="20%"/>
            <w:tcMar>
              <w:top w:type="dxa" w:w="80"/>
              <w:left w:type="dxa" w:w="100"/>
              <w:bottom w:type="dxa" w:w="80"/>
              <w:right w:type="dxa" w:w="100"/>
            </w:tcMar>
          </w:tcPr>
          <w:p>
            <w:r>
              <w:rPr>
                <w:b w:val="false"/>
                <w:bCs w:val="false"/>
                <w:i w:val="false"/>
                <w:iCs w:val="false"/>
                <w:sz w:val="20"/>
                <w:szCs w:val="20"/>
              </w:rPr>
              <w:t xml:space="preserve">-2.1 pts</w:t>
            </w:r>
          </w:p>
        </w:tc>
      </w:tr>
      <w:tr>
        <w:tc>
          <w:tcPr>
            <w:tcW w:type="pct" w:w="22%"/>
            <w:tcMar>
              <w:top w:type="dxa" w:w="80"/>
              <w:left w:type="dxa" w:w="100"/>
              <w:bottom w:type="dxa" w:w="80"/>
              <w:right w:type="dxa" w:w="100"/>
            </w:tcMar>
          </w:tcPr>
          <w:p>
            <w:r>
              <w:rPr>
                <w:b w:val="false"/>
                <w:bCs w:val="false"/>
                <w:i w:val="false"/>
                <w:iCs w:val="false"/>
                <w:sz w:val="20"/>
                <w:szCs w:val="20"/>
              </w:rPr>
              <w:t xml:space="preserve">Zahle</w:t>
            </w:r>
          </w:p>
        </w:tc>
        <w:tc>
          <w:tcPr>
            <w:tcW w:type="pct" w:w="20%"/>
            <w:tcMar>
              <w:top w:type="dxa" w:w="80"/>
              <w:left w:type="dxa" w:w="100"/>
              <w:bottom w:type="dxa" w:w="80"/>
              <w:right w:type="dxa" w:w="100"/>
            </w:tcMar>
          </w:tcPr>
          <w:p>
            <w:r>
              <w:rPr>
                <w:b w:val="false"/>
                <w:bCs w:val="false"/>
                <w:i w:val="false"/>
                <w:iCs w:val="false"/>
                <w:sz w:val="20"/>
                <w:szCs w:val="20"/>
              </w:rPr>
              <w:t xml:space="preserve">98.0%</w:t>
            </w:r>
          </w:p>
        </w:tc>
        <w:tc>
          <w:tcPr>
            <w:tcW w:type="pct" w:w="26%"/>
            <w:tcMar>
              <w:top w:type="dxa" w:w="80"/>
              <w:left w:type="dxa" w:w="100"/>
              <w:bottom w:type="dxa" w:w="80"/>
              <w:right w:type="dxa" w:w="100"/>
            </w:tcMar>
          </w:tcPr>
          <w:p>
            <w:r>
              <w:rPr>
                <w:b w:val="false"/>
                <w:bCs w:val="false"/>
                <w:i w:val="false"/>
                <w:iCs w:val="false"/>
                <w:sz w:val="20"/>
                <w:szCs w:val="20"/>
              </w:rPr>
              <w:t xml:space="preserve">84.2%</w:t>
            </w:r>
          </w:p>
        </w:tc>
        <w:tc>
          <w:tcPr>
            <w:tcW w:type="pct" w:w="20%"/>
            <w:tcMar>
              <w:top w:type="dxa" w:w="80"/>
              <w:left w:type="dxa" w:w="100"/>
              <w:bottom w:type="dxa" w:w="80"/>
              <w:right w:type="dxa" w:w="100"/>
            </w:tcMar>
          </w:tcPr>
          <w:p>
            <w:r>
              <w:rPr>
                <w:b w:val="false"/>
                <w:bCs w:val="false"/>
                <w:i w:val="false"/>
                <w:iCs w:val="false"/>
                <w:sz w:val="20"/>
                <w:szCs w:val="20"/>
              </w:rPr>
              <w:t xml:space="preserve">-13.8 pts</w:t>
            </w:r>
          </w:p>
        </w:tc>
      </w:tr>
    </w:tbl>
    <w:p>
      <w:pPr>
        <w:spacing w:after="160"/>
        <w:jc w:val="left"/>
      </w:pPr>
      <w:r>
        <w:rPr>
          <w:b w:val="false"/>
          <w:bCs w:val="false"/>
          <w:i w:val="false"/>
          <w:iCs w:val="false"/>
          <w:sz w:val="22"/>
          <w:szCs w:val="22"/>
        </w:rPr>
        <w:t xml:space="preserve"/>
      </w:r>
    </w:p>
    <w:p>
      <w:pPr>
        <w:spacing w:after="160"/>
        <w:jc w:val="left"/>
      </w:pPr>
      <w:r>
        <w:rPr>
          <w:b w:val="false"/>
          <w:bCs w:val="false"/>
          <w:i w:val="false"/>
          <w:iCs w:val="false"/>
          <w:sz w:val="22"/>
          <w:szCs w:val="22"/>
        </w:rPr>
        <w:t xml:space="preserve">Root cause: at Sin el Fil, the count discrepancy is concentrated in fast-moving cable SKUs where cut-lengths sold from full drums are not always recorded as partial-unit adjustments at the point of sale. At Zahle, the branch has operated for four months without a dedicated warehouse supervisor following a resignation in June 2025; counting and put-away have been handled ad hoc by sales staff between customer transactions.</w:t>
      </w:r>
    </w:p>
    <w:p>
      <w:pPr>
        <w:pStyle w:val="Heading1"/>
        <w:spacing w:after="120" w:before="280"/>
      </w:pPr>
      <w:r>
        <w:rPr>
          <w:b/>
          <w:bCs/>
          <w:color w:val="1E2761"/>
          <w:sz w:val="26"/>
          <w:szCs w:val="26"/>
        </w:rPr>
        <w:t xml:space="preserve">5. Reconciliation Difference - USD 108,400</w:t>
      </w:r>
    </w:p>
    <w:p>
      <w:pPr>
        <w:spacing w:after="160"/>
        <w:jc w:val="left"/>
      </w:pPr>
      <w:r>
        <w:rPr>
          <w:b w:val="false"/>
          <w:bCs w:val="false"/>
          <w:i w:val="false"/>
          <w:iCs w:val="false"/>
          <w:sz w:val="22"/>
          <w:szCs w:val="22"/>
        </w:rPr>
        <w:t xml:space="preserve">The difference between the perpetual inventory system's stated stock value and the value of stock physically counted and priced at standard cost is USD 108,400 as at the October count date. This breaks down approximately as follows: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980"/>
        <w:gridCol w:w="2160"/>
        <w:gridCol w:w="2160"/>
        <w:gridCol w:w="1800"/>
      </w:tblGrid>
      <w:tr>
        <w:trPr>
          <w:tblHeader/>
        </w:trPr>
        <w:tc>
          <w:tcPr>
            <w:tcW w:type="pct" w:w="22%"/>
            <w:shd w:fill="1E2761" w:val="clear"/>
            <w:tcMar>
              <w:top w:type="dxa" w:w="80"/>
              <w:left w:type="dxa" w:w="100"/>
              <w:bottom w:type="dxa" w:w="80"/>
              <w:right w:type="dxa" w:w="100"/>
            </w:tcMar>
          </w:tcPr>
          <w:p>
            <w:r>
              <w:rPr>
                <w:b/>
                <w:bCs/>
                <w:i w:val="false"/>
                <w:iCs w:val="false"/>
                <w:color w:val="FFFFFF"/>
                <w:sz w:val="20"/>
                <w:szCs w:val="20"/>
              </w:rPr>
              <w:t xml:space="preserve">Branch</w:t>
            </w:r>
          </w:p>
        </w:tc>
        <w:tc>
          <w:tcPr>
            <w:tcW w:type="pct" w:w="24%"/>
            <w:shd w:fill="1E2761" w:val="clear"/>
            <w:tcMar>
              <w:top w:type="dxa" w:w="80"/>
              <w:left w:type="dxa" w:w="100"/>
              <w:bottom w:type="dxa" w:w="80"/>
              <w:right w:type="dxa" w:w="100"/>
            </w:tcMar>
          </w:tcPr>
          <w:p>
            <w:r>
              <w:rPr>
                <w:b/>
                <w:bCs/>
                <w:i w:val="false"/>
                <w:iCs w:val="false"/>
                <w:color w:val="FFFFFF"/>
                <w:sz w:val="20"/>
                <w:szCs w:val="20"/>
              </w:rPr>
              <w:t xml:space="preserve">System Value (USD)</w:t>
            </w:r>
          </w:p>
        </w:tc>
        <w:tc>
          <w:tcPr>
            <w:tcW w:type="pct" w:w="24%"/>
            <w:shd w:fill="1E2761" w:val="clear"/>
            <w:tcMar>
              <w:top w:type="dxa" w:w="80"/>
              <w:left w:type="dxa" w:w="100"/>
              <w:bottom w:type="dxa" w:w="80"/>
              <w:right w:type="dxa" w:w="100"/>
            </w:tcMar>
          </w:tcPr>
          <w:p>
            <w:r>
              <w:rPr>
                <w:b/>
                <w:bCs/>
                <w:i w:val="false"/>
                <w:iCs w:val="false"/>
                <w:color w:val="FFFFFF"/>
                <w:sz w:val="20"/>
                <w:szCs w:val="20"/>
              </w:rPr>
              <w:t xml:space="preserve">Counted Value (USD)</w:t>
            </w:r>
          </w:p>
        </w:tc>
        <w:tc>
          <w:tcPr>
            <w:tcW w:type="pct" w:w="20%"/>
            <w:shd w:fill="1E2761" w:val="clear"/>
            <w:tcMar>
              <w:top w:type="dxa" w:w="80"/>
              <w:left w:type="dxa" w:w="100"/>
              <w:bottom w:type="dxa" w:w="80"/>
              <w:right w:type="dxa" w:w="100"/>
            </w:tcMar>
          </w:tcPr>
          <w:p>
            <w:r>
              <w:rPr>
                <w:b/>
                <w:bCs/>
                <w:i w:val="false"/>
                <w:iCs w:val="false"/>
                <w:color w:val="FFFFFF"/>
                <w:sz w:val="20"/>
                <w:szCs w:val="20"/>
              </w:rPr>
              <w:t xml:space="preserve">Difference (USD)</w:t>
            </w:r>
          </w:p>
        </w:tc>
      </w:tr>
      <w:tr>
        <w:tc>
          <w:tcPr>
            <w:tcW w:type="pct" w:w="22%"/>
            <w:tcMar>
              <w:top w:type="dxa" w:w="80"/>
              <w:left w:type="dxa" w:w="100"/>
              <w:bottom w:type="dxa" w:w="80"/>
              <w:right w:type="dxa" w:w="100"/>
            </w:tcMar>
          </w:tcPr>
          <w:p>
            <w:r>
              <w:rPr>
                <w:b w:val="false"/>
                <w:bCs w:val="false"/>
                <w:i w:val="false"/>
                <w:iCs w:val="false"/>
                <w:sz w:val="20"/>
                <w:szCs w:val="20"/>
              </w:rPr>
              <w:t xml:space="preserve">Sin el Fil</w:t>
            </w:r>
          </w:p>
        </w:tc>
        <w:tc>
          <w:tcPr>
            <w:tcW w:type="pct" w:w="24%"/>
            <w:tcMar>
              <w:top w:type="dxa" w:w="80"/>
              <w:left w:type="dxa" w:w="100"/>
              <w:bottom w:type="dxa" w:w="80"/>
              <w:right w:type="dxa" w:w="100"/>
            </w:tcMar>
          </w:tcPr>
          <w:p>
            <w:r>
              <w:rPr>
                <w:b w:val="false"/>
                <w:bCs w:val="false"/>
                <w:i w:val="false"/>
                <w:iCs w:val="false"/>
                <w:sz w:val="20"/>
                <w:szCs w:val="20"/>
              </w:rPr>
              <w:t xml:space="preserve">612,400</w:t>
            </w:r>
          </w:p>
        </w:tc>
        <w:tc>
          <w:tcPr>
            <w:tcW w:type="pct" w:w="24%"/>
            <w:tcMar>
              <w:top w:type="dxa" w:w="80"/>
              <w:left w:type="dxa" w:w="100"/>
              <w:bottom w:type="dxa" w:w="80"/>
              <w:right w:type="dxa" w:w="100"/>
            </w:tcMar>
          </w:tcPr>
          <w:p>
            <w:r>
              <w:rPr>
                <w:b w:val="false"/>
                <w:bCs w:val="false"/>
                <w:i w:val="false"/>
                <w:iCs w:val="false"/>
                <w:sz w:val="20"/>
                <w:szCs w:val="20"/>
              </w:rPr>
              <w:t xml:space="preserve">598,900</w:t>
            </w:r>
          </w:p>
        </w:tc>
        <w:tc>
          <w:tcPr>
            <w:tcW w:type="pct" w:w="20%"/>
            <w:tcMar>
              <w:top w:type="dxa" w:w="80"/>
              <w:left w:type="dxa" w:w="100"/>
              <w:bottom w:type="dxa" w:w="80"/>
              <w:right w:type="dxa" w:w="100"/>
            </w:tcMar>
          </w:tcPr>
          <w:p>
            <w:r>
              <w:rPr>
                <w:b w:val="false"/>
                <w:bCs w:val="false"/>
                <w:i w:val="false"/>
                <w:iCs w:val="false"/>
                <w:sz w:val="20"/>
                <w:szCs w:val="20"/>
              </w:rPr>
              <w:t xml:space="preserve">(13,500)</w:t>
            </w:r>
          </w:p>
        </w:tc>
      </w:tr>
      <w:tr>
        <w:tc>
          <w:tcPr>
            <w:tcW w:type="pct" w:w="22%"/>
            <w:tcMar>
              <w:top w:type="dxa" w:w="80"/>
              <w:left w:type="dxa" w:w="100"/>
              <w:bottom w:type="dxa" w:w="80"/>
              <w:right w:type="dxa" w:w="100"/>
            </w:tcMar>
          </w:tcPr>
          <w:p>
            <w:r>
              <w:rPr>
                <w:b w:val="false"/>
                <w:bCs w:val="false"/>
                <w:i w:val="false"/>
                <w:iCs w:val="false"/>
                <w:sz w:val="20"/>
                <w:szCs w:val="20"/>
              </w:rPr>
              <w:t xml:space="preserve">Hamra</w:t>
            </w:r>
          </w:p>
        </w:tc>
        <w:tc>
          <w:tcPr>
            <w:tcW w:type="pct" w:w="24%"/>
            <w:tcMar>
              <w:top w:type="dxa" w:w="80"/>
              <w:left w:type="dxa" w:w="100"/>
              <w:bottom w:type="dxa" w:w="80"/>
              <w:right w:type="dxa" w:w="100"/>
            </w:tcMar>
          </w:tcPr>
          <w:p>
            <w:r>
              <w:rPr>
                <w:b w:val="false"/>
                <w:bCs w:val="false"/>
                <w:i w:val="false"/>
                <w:iCs w:val="false"/>
                <w:sz w:val="20"/>
                <w:szCs w:val="20"/>
              </w:rPr>
              <w:t xml:space="preserve">284,100</w:t>
            </w:r>
          </w:p>
        </w:tc>
        <w:tc>
          <w:tcPr>
            <w:tcW w:type="pct" w:w="24%"/>
            <w:tcMar>
              <w:top w:type="dxa" w:w="80"/>
              <w:left w:type="dxa" w:w="100"/>
              <w:bottom w:type="dxa" w:w="80"/>
              <w:right w:type="dxa" w:w="100"/>
            </w:tcMar>
          </w:tcPr>
          <w:p>
            <w:r>
              <w:rPr>
                <w:b w:val="false"/>
                <w:bCs w:val="false"/>
                <w:i w:val="false"/>
                <w:iCs w:val="false"/>
                <w:sz w:val="20"/>
                <w:szCs w:val="20"/>
              </w:rPr>
              <w:t xml:space="preserve">281,600</w:t>
            </w:r>
          </w:p>
        </w:tc>
        <w:tc>
          <w:tcPr>
            <w:tcW w:type="pct" w:w="20%"/>
            <w:tcMar>
              <w:top w:type="dxa" w:w="80"/>
              <w:left w:type="dxa" w:w="100"/>
              <w:bottom w:type="dxa" w:w="80"/>
              <w:right w:type="dxa" w:w="100"/>
            </w:tcMar>
          </w:tcPr>
          <w:p>
            <w:r>
              <w:rPr>
                <w:b w:val="false"/>
                <w:bCs w:val="false"/>
                <w:i w:val="false"/>
                <w:iCs w:val="false"/>
                <w:sz w:val="20"/>
                <w:szCs w:val="20"/>
              </w:rPr>
              <w:t xml:space="preserve">(2,500)</w:t>
            </w:r>
          </w:p>
        </w:tc>
      </w:tr>
      <w:tr>
        <w:tc>
          <w:tcPr>
            <w:tcW w:type="pct" w:w="22%"/>
            <w:tcMar>
              <w:top w:type="dxa" w:w="80"/>
              <w:left w:type="dxa" w:w="100"/>
              <w:bottom w:type="dxa" w:w="80"/>
              <w:right w:type="dxa" w:w="100"/>
            </w:tcMar>
          </w:tcPr>
          <w:p>
            <w:r>
              <w:rPr>
                <w:b w:val="false"/>
                <w:bCs w:val="false"/>
                <w:i w:val="false"/>
                <w:iCs w:val="false"/>
                <w:sz w:val="20"/>
                <w:szCs w:val="20"/>
              </w:rPr>
              <w:t xml:space="preserve">Tripoli</w:t>
            </w:r>
          </w:p>
        </w:tc>
        <w:tc>
          <w:tcPr>
            <w:tcW w:type="pct" w:w="24%"/>
            <w:tcMar>
              <w:top w:type="dxa" w:w="80"/>
              <w:left w:type="dxa" w:w="100"/>
              <w:bottom w:type="dxa" w:w="80"/>
              <w:right w:type="dxa" w:w="100"/>
            </w:tcMar>
          </w:tcPr>
          <w:p>
            <w:r>
              <w:rPr>
                <w:b w:val="false"/>
                <w:bCs w:val="false"/>
                <w:i w:val="false"/>
                <w:iCs w:val="false"/>
                <w:sz w:val="20"/>
                <w:szCs w:val="20"/>
              </w:rPr>
              <w:t xml:space="preserve">396,700</w:t>
            </w:r>
          </w:p>
        </w:tc>
        <w:tc>
          <w:tcPr>
            <w:tcW w:type="pct" w:w="24%"/>
            <w:tcMar>
              <w:top w:type="dxa" w:w="80"/>
              <w:left w:type="dxa" w:w="100"/>
              <w:bottom w:type="dxa" w:w="80"/>
              <w:right w:type="dxa" w:w="100"/>
            </w:tcMar>
          </w:tcPr>
          <w:p>
            <w:r>
              <w:rPr>
                <w:b w:val="false"/>
                <w:bCs w:val="false"/>
                <w:i w:val="false"/>
                <w:iCs w:val="false"/>
                <w:sz w:val="20"/>
                <w:szCs w:val="20"/>
              </w:rPr>
              <w:t xml:space="preserve">351,200</w:t>
            </w:r>
          </w:p>
        </w:tc>
        <w:tc>
          <w:tcPr>
            <w:tcW w:type="pct" w:w="20%"/>
            <w:tcMar>
              <w:top w:type="dxa" w:w="80"/>
              <w:left w:type="dxa" w:w="100"/>
              <w:bottom w:type="dxa" w:w="80"/>
              <w:right w:type="dxa" w:w="100"/>
            </w:tcMar>
          </w:tcPr>
          <w:p>
            <w:r>
              <w:rPr>
                <w:b w:val="false"/>
                <w:bCs w:val="false"/>
                <w:i w:val="false"/>
                <w:iCs w:val="false"/>
                <w:sz w:val="20"/>
                <w:szCs w:val="20"/>
              </w:rPr>
              <w:t xml:space="preserve">(45,500)</w:t>
            </w:r>
          </w:p>
        </w:tc>
      </w:tr>
      <w:tr>
        <w:tc>
          <w:tcPr>
            <w:tcW w:type="pct" w:w="22%"/>
            <w:tcMar>
              <w:top w:type="dxa" w:w="80"/>
              <w:left w:type="dxa" w:w="100"/>
              <w:bottom w:type="dxa" w:w="80"/>
              <w:right w:type="dxa" w:w="100"/>
            </w:tcMar>
          </w:tcPr>
          <w:p>
            <w:r>
              <w:rPr>
                <w:b w:val="false"/>
                <w:bCs w:val="false"/>
                <w:i w:val="false"/>
                <w:iCs w:val="false"/>
                <w:sz w:val="20"/>
                <w:szCs w:val="20"/>
              </w:rPr>
              <w:t xml:space="preserve">Saida</w:t>
            </w:r>
          </w:p>
        </w:tc>
        <w:tc>
          <w:tcPr>
            <w:tcW w:type="pct" w:w="24%"/>
            <w:tcMar>
              <w:top w:type="dxa" w:w="80"/>
              <w:left w:type="dxa" w:w="100"/>
              <w:bottom w:type="dxa" w:w="80"/>
              <w:right w:type="dxa" w:w="100"/>
            </w:tcMar>
          </w:tcPr>
          <w:p>
            <w:r>
              <w:rPr>
                <w:b w:val="false"/>
                <w:bCs w:val="false"/>
                <w:i w:val="false"/>
                <w:iCs w:val="false"/>
                <w:sz w:val="20"/>
                <w:szCs w:val="20"/>
              </w:rPr>
              <w:t xml:space="preserve">241,900</w:t>
            </w:r>
          </w:p>
        </w:tc>
        <w:tc>
          <w:tcPr>
            <w:tcW w:type="pct" w:w="24%"/>
            <w:tcMar>
              <w:top w:type="dxa" w:w="80"/>
              <w:left w:type="dxa" w:w="100"/>
              <w:bottom w:type="dxa" w:w="80"/>
              <w:right w:type="dxa" w:w="100"/>
            </w:tcMar>
          </w:tcPr>
          <w:p>
            <w:r>
              <w:rPr>
                <w:b w:val="false"/>
                <w:bCs w:val="false"/>
                <w:i w:val="false"/>
                <w:iCs w:val="false"/>
                <w:sz w:val="20"/>
                <w:szCs w:val="20"/>
              </w:rPr>
              <w:t xml:space="preserve">238,400</w:t>
            </w:r>
          </w:p>
        </w:tc>
        <w:tc>
          <w:tcPr>
            <w:tcW w:type="pct" w:w="20%"/>
            <w:tcMar>
              <w:top w:type="dxa" w:w="80"/>
              <w:left w:type="dxa" w:w="100"/>
              <w:bottom w:type="dxa" w:w="80"/>
              <w:right w:type="dxa" w:w="100"/>
            </w:tcMar>
          </w:tcPr>
          <w:p>
            <w:r>
              <w:rPr>
                <w:b w:val="false"/>
                <w:bCs w:val="false"/>
                <w:i w:val="false"/>
                <w:iCs w:val="false"/>
                <w:sz w:val="20"/>
                <w:szCs w:val="20"/>
              </w:rPr>
              <w:t xml:space="preserve">(3,500)</w:t>
            </w:r>
          </w:p>
        </w:tc>
      </w:tr>
      <w:tr>
        <w:tc>
          <w:tcPr>
            <w:tcW w:type="pct" w:w="22%"/>
            <w:tcMar>
              <w:top w:type="dxa" w:w="80"/>
              <w:left w:type="dxa" w:w="100"/>
              <w:bottom w:type="dxa" w:w="80"/>
              <w:right w:type="dxa" w:w="100"/>
            </w:tcMar>
          </w:tcPr>
          <w:p>
            <w:r>
              <w:rPr>
                <w:b w:val="false"/>
                <w:bCs w:val="false"/>
                <w:i w:val="false"/>
                <w:iCs w:val="false"/>
                <w:sz w:val="20"/>
                <w:szCs w:val="20"/>
              </w:rPr>
              <w:t xml:space="preserve">Zahle</w:t>
            </w:r>
          </w:p>
        </w:tc>
        <w:tc>
          <w:tcPr>
            <w:tcW w:type="pct" w:w="24%"/>
            <w:tcMar>
              <w:top w:type="dxa" w:w="80"/>
              <w:left w:type="dxa" w:w="100"/>
              <w:bottom w:type="dxa" w:w="80"/>
              <w:right w:type="dxa" w:w="100"/>
            </w:tcMar>
          </w:tcPr>
          <w:p>
            <w:r>
              <w:rPr>
                <w:b w:val="false"/>
                <w:bCs w:val="false"/>
                <w:i w:val="false"/>
                <w:iCs w:val="false"/>
                <w:sz w:val="20"/>
                <w:szCs w:val="20"/>
              </w:rPr>
              <w:t xml:space="preserve">358,300</w:t>
            </w:r>
          </w:p>
        </w:tc>
        <w:tc>
          <w:tcPr>
            <w:tcW w:type="pct" w:w="24%"/>
            <w:tcMar>
              <w:top w:type="dxa" w:w="80"/>
              <w:left w:type="dxa" w:w="100"/>
              <w:bottom w:type="dxa" w:w="80"/>
              <w:right w:type="dxa" w:w="100"/>
            </w:tcMar>
          </w:tcPr>
          <w:p>
            <w:r>
              <w:rPr>
                <w:b w:val="false"/>
                <w:bCs w:val="false"/>
                <w:i w:val="false"/>
                <w:iCs w:val="false"/>
                <w:sz w:val="20"/>
                <w:szCs w:val="20"/>
              </w:rPr>
              <w:t xml:space="preserve">314,900</w:t>
            </w:r>
          </w:p>
        </w:tc>
        <w:tc>
          <w:tcPr>
            <w:tcW w:type="pct" w:w="20%"/>
            <w:tcMar>
              <w:top w:type="dxa" w:w="80"/>
              <w:left w:type="dxa" w:w="100"/>
              <w:bottom w:type="dxa" w:w="80"/>
              <w:right w:type="dxa" w:w="100"/>
            </w:tcMar>
          </w:tcPr>
          <w:p>
            <w:r>
              <w:rPr>
                <w:b w:val="false"/>
                <w:bCs w:val="false"/>
                <w:i w:val="false"/>
                <w:iCs w:val="false"/>
                <w:sz w:val="20"/>
                <w:szCs w:val="20"/>
              </w:rPr>
              <w:t xml:space="preserve">(43,400)</w:t>
            </w:r>
          </w:p>
        </w:tc>
      </w:tr>
      <w:tr>
        <w:tc>
          <w:tcPr>
            <w:tcW w:type="pct" w:w="22%"/>
            <w:tcMar>
              <w:top w:type="dxa" w:w="80"/>
              <w:left w:type="dxa" w:w="100"/>
              <w:bottom w:type="dxa" w:w="80"/>
              <w:right w:type="dxa" w:w="100"/>
            </w:tcMar>
          </w:tcPr>
          <w:p>
            <w:r>
              <w:rPr>
                <w:b w:val="false"/>
                <w:bCs w:val="false"/>
                <w:i w:val="false"/>
                <w:iCs w:val="false"/>
                <w:sz w:val="20"/>
                <w:szCs w:val="20"/>
              </w:rPr>
              <w:t xml:space="preserve">Group Total</w:t>
            </w:r>
          </w:p>
        </w:tc>
        <w:tc>
          <w:tcPr>
            <w:tcW w:type="pct" w:w="24%"/>
            <w:tcMar>
              <w:top w:type="dxa" w:w="80"/>
              <w:left w:type="dxa" w:w="100"/>
              <w:bottom w:type="dxa" w:w="80"/>
              <w:right w:type="dxa" w:w="100"/>
            </w:tcMar>
          </w:tcPr>
          <w:p>
            <w:r>
              <w:rPr>
                <w:b w:val="false"/>
                <w:bCs w:val="false"/>
                <w:i w:val="false"/>
                <w:iCs w:val="false"/>
                <w:sz w:val="20"/>
                <w:szCs w:val="20"/>
              </w:rPr>
              <w:t xml:space="preserve">1,893,400</w:t>
            </w:r>
          </w:p>
        </w:tc>
        <w:tc>
          <w:tcPr>
            <w:tcW w:type="pct" w:w="24%"/>
            <w:tcMar>
              <w:top w:type="dxa" w:w="80"/>
              <w:left w:type="dxa" w:w="100"/>
              <w:bottom w:type="dxa" w:w="80"/>
              <w:right w:type="dxa" w:w="100"/>
            </w:tcMar>
          </w:tcPr>
          <w:p>
            <w:r>
              <w:rPr>
                <w:b w:val="false"/>
                <w:bCs w:val="false"/>
                <w:i w:val="false"/>
                <w:iCs w:val="false"/>
                <w:sz w:val="20"/>
                <w:szCs w:val="20"/>
              </w:rPr>
              <w:t xml:space="preserve">1,785,000</w:t>
            </w:r>
          </w:p>
        </w:tc>
        <w:tc>
          <w:tcPr>
            <w:tcW w:type="pct" w:w="20%"/>
            <w:tcMar>
              <w:top w:type="dxa" w:w="80"/>
              <w:left w:type="dxa" w:w="100"/>
              <w:bottom w:type="dxa" w:w="80"/>
              <w:right w:type="dxa" w:w="100"/>
            </w:tcMar>
          </w:tcPr>
          <w:p>
            <w:r>
              <w:rPr>
                <w:b w:val="false"/>
                <w:bCs w:val="false"/>
                <w:i w:val="false"/>
                <w:iCs w:val="false"/>
                <w:sz w:val="20"/>
                <w:szCs w:val="20"/>
              </w:rPr>
              <w:t xml:space="preserve">(108,400)</w:t>
            </w:r>
          </w:p>
        </w:tc>
      </w:tr>
    </w:tbl>
    <w:p>
      <w:pPr>
        <w:spacing w:after="160"/>
        <w:jc w:val="left"/>
      </w:pPr>
      <w:r>
        <w:rPr>
          <w:b w:val="false"/>
          <w:bCs w:val="false"/>
          <w:i w:val="false"/>
          <w:iCs w:val="false"/>
          <w:sz w:val="22"/>
          <w:szCs w:val="22"/>
        </w:rPr>
        <w:t xml:space="preserve"/>
      </w:r>
    </w:p>
    <w:p>
      <w:pPr>
        <w:spacing w:after="160"/>
        <w:jc w:val="left"/>
      </w:pPr>
      <w:r>
        <w:rPr>
          <w:b w:val="false"/>
          <w:bCs w:val="false"/>
          <w:i w:val="false"/>
          <w:iCs w:val="false"/>
          <w:sz w:val="22"/>
          <w:szCs w:val="22"/>
        </w:rPr>
        <w:t xml:space="preserve">Audit was not able to fully explain the Tripoli and Zahle differences within the fieldwork window. Possible contributing factors identified but not yet confirmed include: unrecorded scrap/damage write-offs at Tripoli following the August warehouse re-layout, and the Zahle counting gaps described in Section 4. Audit recommends a targeted root-cause review at both branches before the FY2025 year-end stock valuation is finalised.</w:t>
      </w:r>
    </w:p>
    <w:p>
      <w:pPr>
        <w:pStyle w:val="Heading1"/>
        <w:spacing w:after="120" w:before="280"/>
      </w:pPr>
      <w:r>
        <w:rPr>
          <w:b/>
          <w:bCs/>
          <w:color w:val="1E2761"/>
          <w:sz w:val="26"/>
          <w:szCs w:val="26"/>
        </w:rPr>
        <w:t xml:space="preserve">6. Obsolescence Provision</w:t>
      </w:r>
    </w:p>
    <w:p>
      <w:pPr>
        <w:spacing w:after="160"/>
        <w:jc w:val="left"/>
      </w:pPr>
      <w:r>
        <w:rPr>
          <w:b w:val="false"/>
          <w:bCs w:val="false"/>
          <w:i w:val="false"/>
          <w:iCs w:val="false"/>
          <w:sz w:val="22"/>
          <w:szCs w:val="22"/>
        </w:rPr>
        <w:t xml:space="preserve">Cedrus Group accounting policy requires a provision against inventory with no sales movement in the preceding 12 months, at a rate determined by the CFO. No such provision has been recorded in the accounts since FY2022 (last recorded: USD 41,000, released in FY2023 with no replacement provision booked). Based on the sample reviewed during this audit, an estimated USD 149,000 of stock across all five branches meets the Group's own dead-stock criteria (see Excel-04-Inventory-Master.xlsx for SKU-level detail from a comparable exercise). Audit recommends this be quantified precisely and provided for in the FY2025 accounts before the external audit commences.</w:t>
      </w:r>
    </w:p>
    <w:p>
      <w:pPr>
        <w:pStyle w:val="Heading1"/>
        <w:spacing w:after="120" w:before="280"/>
      </w:pPr>
      <w:r>
        <w:rPr>
          <w:b/>
          <w:bCs/>
          <w:color w:val="1E2761"/>
          <w:sz w:val="26"/>
          <w:szCs w:val="26"/>
        </w:rPr>
        <w:t xml:space="preserve">7. Segregation of Duties</w:t>
      </w:r>
    </w:p>
    <w:p>
      <w:pPr>
        <w:spacing w:after="160"/>
        <w:jc w:val="left"/>
      </w:pPr>
      <w:r>
        <w:rPr>
          <w:b w:val="false"/>
          <w:bCs w:val="false"/>
          <w:i w:val="false"/>
          <w:iCs w:val="false"/>
          <w:sz w:val="22"/>
          <w:szCs w:val="22"/>
        </w:rPr>
        <w:t xml:space="preserve">At Zahle in particular, the same staff member who receives goods-in also approves the corresponding supplier invoice for payment and adjusts stock records - a segregation-of-duties gap that a monthly management review does not, on its own, fully compensate for. Audit recommends a rotating stock-count team drawn from Sin el Fil to support Zahle until a dedicated warehouse supervisor is recruited, in addition to the existing regional manager review.</w:t>
      </w:r>
    </w:p>
    <w:p>
      <w:pPr>
        <w:pStyle w:val="Heading1"/>
        <w:spacing w:after="120" w:before="280"/>
      </w:pPr>
      <w:r>
        <w:rPr>
          <w:b/>
          <w:bCs/>
          <w:color w:val="1E2761"/>
          <w:sz w:val="26"/>
          <w:szCs w:val="26"/>
        </w:rPr>
        <w:t xml:space="preserve">8. Goods-In and Goods-Out Controls</w:t>
      </w:r>
    </w:p>
    <w:p>
      <w:pPr>
        <w:spacing w:after="160"/>
        <w:jc w:val="left"/>
      </w:pPr>
      <w:r>
        <w:rPr>
          <w:b w:val="false"/>
          <w:bCs w:val="false"/>
          <w:i w:val="false"/>
          <w:iCs w:val="false"/>
          <w:sz w:val="22"/>
          <w:szCs w:val="22"/>
        </w:rPr>
        <w:t xml:space="preserve">Goods-in documentation was well controlled at four of five branches, with supplier delivery notes matched to purchase orders before put-away in all sampled transactions. At Zahle, six of twenty sampled goods-in transactions during the audit period lacked a matched purchase order at the time of put-away, consistent with the supervisory gap noted in Section 7. Goods-out controls (picking, delivery note, signature) were adequate across all branches with no material exceptions noted.</w:t>
      </w:r>
    </w:p>
    <w:p>
      <w:pPr>
        <w:pStyle w:val="Heading1"/>
        <w:spacing w:after="120" w:before="280"/>
      </w:pPr>
      <w:r>
        <w:rPr>
          <w:b/>
          <w:bCs/>
          <w:color w:val="1E2761"/>
          <w:sz w:val="26"/>
          <w:szCs w:val="26"/>
        </w:rPr>
        <w:t xml:space="preserve">9. Prior Audit Findings - Status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4950"/>
        <w:gridCol w:w="4050"/>
      </w:tblGrid>
      <w:tr>
        <w:trPr>
          <w:tblHeader/>
        </w:trPr>
        <w:tc>
          <w:tcPr>
            <w:tcW w:type="pct" w:w="55%"/>
            <w:shd w:fill="1E2761" w:val="clear"/>
            <w:tcMar>
              <w:top w:type="dxa" w:w="80"/>
              <w:left w:type="dxa" w:w="100"/>
              <w:bottom w:type="dxa" w:w="80"/>
              <w:right w:type="dxa" w:w="100"/>
            </w:tcMar>
          </w:tcPr>
          <w:p>
            <w:r>
              <w:rPr>
                <w:b/>
                <w:bCs/>
                <w:i w:val="false"/>
                <w:iCs w:val="false"/>
                <w:color w:val="FFFFFF"/>
                <w:sz w:val="20"/>
                <w:szCs w:val="20"/>
              </w:rPr>
              <w:t xml:space="preserve">Prior Finding (FY2024 Audit)</w:t>
            </w:r>
          </w:p>
        </w:tc>
        <w:tc>
          <w:tcPr>
            <w:tcW w:type="pct" w:w="45%"/>
            <w:shd w:fill="1E2761" w:val="clear"/>
            <w:tcMar>
              <w:top w:type="dxa" w:w="80"/>
              <w:left w:type="dxa" w:w="100"/>
              <w:bottom w:type="dxa" w:w="80"/>
              <w:right w:type="dxa" w:w="100"/>
            </w:tcMar>
          </w:tcPr>
          <w:p>
            <w:r>
              <w:rPr>
                <w:b/>
                <w:bCs/>
                <w:i w:val="false"/>
                <w:iCs w:val="false"/>
                <w:color w:val="FFFFFF"/>
                <w:sz w:val="20"/>
                <w:szCs w:val="20"/>
              </w:rPr>
              <w:t xml:space="preserve">Status</w:t>
            </w:r>
          </w:p>
        </w:tc>
      </w:tr>
      <w:tr>
        <w:tc>
          <w:tcPr>
            <w:tcW w:type="pct" w:w="55%"/>
            <w:tcMar>
              <w:top w:type="dxa" w:w="80"/>
              <w:left w:type="dxa" w:w="100"/>
              <w:bottom w:type="dxa" w:w="80"/>
              <w:right w:type="dxa" w:w="100"/>
            </w:tcMar>
          </w:tcPr>
          <w:p>
            <w:r>
              <w:rPr>
                <w:b w:val="false"/>
                <w:bCs w:val="false"/>
                <w:i w:val="false"/>
                <w:iCs w:val="false"/>
                <w:sz w:val="20"/>
                <w:szCs w:val="20"/>
              </w:rPr>
              <w:t xml:space="preserve">Recommend barcode scanning at goods-in, Sin el Fil pilot</w:t>
            </w:r>
          </w:p>
        </w:tc>
        <w:tc>
          <w:tcPr>
            <w:tcW w:type="pct" w:w="45%"/>
            <w:tcMar>
              <w:top w:type="dxa" w:w="80"/>
              <w:left w:type="dxa" w:w="100"/>
              <w:bottom w:type="dxa" w:w="80"/>
              <w:right w:type="dxa" w:w="100"/>
            </w:tcMar>
          </w:tcPr>
          <w:p>
            <w:r>
              <w:rPr>
                <w:b w:val="false"/>
                <w:bCs w:val="false"/>
                <w:i w:val="false"/>
                <w:iCs w:val="false"/>
                <w:sz w:val="20"/>
                <w:szCs w:val="20"/>
              </w:rPr>
              <w:t xml:space="preserve">Implemented, Sin el Fil only - not yet rolled out to other branches</w:t>
            </w:r>
          </w:p>
        </w:tc>
      </w:tr>
      <w:tr>
        <w:tc>
          <w:tcPr>
            <w:tcW w:type="pct" w:w="55%"/>
            <w:tcMar>
              <w:top w:type="dxa" w:w="80"/>
              <w:left w:type="dxa" w:w="100"/>
              <w:bottom w:type="dxa" w:w="80"/>
              <w:right w:type="dxa" w:w="100"/>
            </w:tcMar>
          </w:tcPr>
          <w:p>
            <w:r>
              <w:rPr>
                <w:b w:val="false"/>
                <w:bCs w:val="false"/>
                <w:i w:val="false"/>
                <w:iCs w:val="false"/>
                <w:sz w:val="20"/>
                <w:szCs w:val="20"/>
              </w:rPr>
              <w:t xml:space="preserve">Recommend quarterly cycle counts at all branches</w:t>
            </w:r>
          </w:p>
        </w:tc>
        <w:tc>
          <w:tcPr>
            <w:tcW w:type="pct" w:w="45%"/>
            <w:tcMar>
              <w:top w:type="dxa" w:w="80"/>
              <w:left w:type="dxa" w:w="100"/>
              <w:bottom w:type="dxa" w:w="80"/>
              <w:right w:type="dxa" w:w="100"/>
            </w:tcMar>
          </w:tcPr>
          <w:p>
            <w:r>
              <w:rPr>
                <w:b w:val="false"/>
                <w:bCs w:val="false"/>
                <w:i w:val="false"/>
                <w:iCs w:val="false"/>
                <w:sz w:val="20"/>
                <w:szCs w:val="20"/>
              </w:rPr>
              <w:t xml:space="preserve">Partially implemented - Hamra, Tripoli and Saida only</w:t>
            </w:r>
          </w:p>
        </w:tc>
      </w:tr>
      <w:tr>
        <w:tc>
          <w:tcPr>
            <w:tcW w:type="pct" w:w="55%"/>
            <w:tcMar>
              <w:top w:type="dxa" w:w="80"/>
              <w:left w:type="dxa" w:w="100"/>
              <w:bottom w:type="dxa" w:w="80"/>
              <w:right w:type="dxa" w:w="100"/>
            </w:tcMar>
          </w:tcPr>
          <w:p>
            <w:r>
              <w:rPr>
                <w:b w:val="false"/>
                <w:bCs w:val="false"/>
                <w:i w:val="false"/>
                <w:iCs w:val="false"/>
                <w:sz w:val="20"/>
                <w:szCs w:val="20"/>
              </w:rPr>
              <w:t xml:space="preserve">Recommend named warehouse supervisor at each branch</w:t>
            </w:r>
          </w:p>
        </w:tc>
        <w:tc>
          <w:tcPr>
            <w:tcW w:type="pct" w:w="45%"/>
            <w:tcMar>
              <w:top w:type="dxa" w:w="80"/>
              <w:left w:type="dxa" w:w="100"/>
              <w:bottom w:type="dxa" w:w="80"/>
              <w:right w:type="dxa" w:w="100"/>
            </w:tcMar>
          </w:tcPr>
          <w:p>
            <w:r>
              <w:rPr>
                <w:b w:val="false"/>
                <w:bCs w:val="false"/>
                <w:i w:val="false"/>
                <w:iCs w:val="false"/>
                <w:sz w:val="20"/>
                <w:szCs w:val="20"/>
              </w:rPr>
              <w:t xml:space="preserve">Not implemented - Zahle vacancy since June 2025</w:t>
            </w:r>
          </w:p>
        </w:tc>
      </w:tr>
    </w:tbl>
    <w:p>
      <w:pPr>
        <w:spacing w:after="160"/>
        <w:jc w:val="left"/>
      </w:pPr>
      <w:r>
        <w:rPr>
          <w:b w:val="false"/>
          <w:bCs w:val="false"/>
          <w:i w:val="false"/>
          <w:iCs w:val="false"/>
          <w:sz w:val="22"/>
          <w:szCs w:val="22"/>
        </w:rPr>
        <w:t xml:space="preserve"/>
      </w:r>
    </w:p>
    <w:p>
      <w:pPr>
        <w:pStyle w:val="Heading1"/>
        <w:spacing w:after="120" w:before="280"/>
      </w:pPr>
      <w:r>
        <w:rPr>
          <w:b/>
          <w:bCs/>
          <w:color w:val="1E2761"/>
          <w:sz w:val="26"/>
          <w:szCs w:val="26"/>
        </w:rPr>
        <w:t xml:space="preserve">10. Recommendations Summary</w:t>
      </w:r>
    </w:p>
    <w:p>
      <w:pPr>
        <w:pStyle w:val="ListParagraph"/>
        <w:numPr>
          <w:ilvl w:val="0"/>
          <w:numId w:val="2"/>
        </w:numPr>
        <w:spacing w:after="100"/>
      </w:pPr>
      <w:r>
        <w:rPr>
          <w:b w:val="false"/>
          <w:bCs w:val="false"/>
          <w:sz w:val="22"/>
          <w:szCs w:val="22"/>
        </w:rPr>
        <w:t xml:space="preserve">Implement a rotating stock-count team from Sin el Fil to support Zahle, in addition to the regional manager review, pending recruitment of a dedicated Zahle warehouse supervisor. Owner: Operations Director.</w:t>
      </w:r>
    </w:p>
    <w:p>
      <w:pPr>
        <w:pStyle w:val="ListParagraph"/>
        <w:numPr>
          <w:ilvl w:val="0"/>
          <w:numId w:val="2"/>
        </w:numPr>
        <w:spacing w:after="100"/>
      </w:pPr>
      <w:r>
        <w:rPr>
          <w:b w:val="false"/>
          <w:bCs w:val="false"/>
          <w:sz w:val="22"/>
          <w:szCs w:val="22"/>
        </w:rPr>
        <w:t xml:space="preserve">Complete a targeted root-cause review of the Tripoli and Zahle reconciliation differences before the FY2025 stock valuation is finalised. Owner: Finance Manager, with Operations Director support.</w:t>
      </w:r>
    </w:p>
    <w:p>
      <w:pPr>
        <w:pStyle w:val="ListParagraph"/>
        <w:numPr>
          <w:ilvl w:val="0"/>
          <w:numId w:val="2"/>
        </w:numPr>
        <w:spacing w:after="100"/>
      </w:pPr>
      <w:r>
        <w:rPr>
          <w:b w:val="false"/>
          <w:bCs w:val="false"/>
          <w:sz w:val="22"/>
          <w:szCs w:val="22"/>
        </w:rPr>
        <w:t xml:space="preserve">Quantify and record an obsolescence provision in the FY2025 accounts, before the commencement of the external audit. Owner: CFO.</w:t>
      </w:r>
    </w:p>
    <w:p>
      <w:pPr>
        <w:pStyle w:val="ListParagraph"/>
        <w:numPr>
          <w:ilvl w:val="0"/>
          <w:numId w:val="2"/>
        </w:numPr>
        <w:spacing w:after="100"/>
      </w:pPr>
      <w:r>
        <w:rPr>
          <w:b w:val="false"/>
          <w:bCs w:val="false"/>
          <w:sz w:val="22"/>
          <w:szCs w:val="22"/>
        </w:rPr>
        <w:t xml:space="preserve">Extend quarterly cycle counts and barcode scanning at goods-in to all five branches during 2026. Owner: Operations Director.</w:t>
      </w:r>
    </w:p>
    <w:p>
      <w:pPr>
        <w:pStyle w:val="Heading1"/>
        <w:spacing w:after="120" w:before="280"/>
      </w:pPr>
      <w:r>
        <w:rPr>
          <w:b/>
          <w:bCs/>
          <w:color w:val="1E2761"/>
          <w:sz w:val="26"/>
          <w:szCs w:val="26"/>
        </w:rPr>
        <w:t xml:space="preserve">11. Management Response</w:t>
      </w:r>
    </w:p>
    <w:p>
      <w:pPr>
        <w:spacing w:after="160"/>
        <w:jc w:val="left"/>
      </w:pPr>
      <w:r>
        <w:rPr>
          <w:b w:val="false"/>
          <w:bCs w:val="false"/>
          <w:i w:val="false"/>
          <w:iCs w:val="false"/>
          <w:sz w:val="22"/>
          <w:szCs w:val="22"/>
        </w:rPr>
        <w:t xml:space="preserve">Management accepts all four recommendations. The CFO has confirmed the obsolescence provision will be quantified and booked ahead of the FY2025 external audit. The Operations Director has confirmed recruitment for the Zahle warehouse supervisor role is underway, with a rotating support team from Sin el Fil in place from December 2025 as an interim measure.</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Cedrus Trading SAL - Internal Audit Report, Q4 2025 -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abstractNum w:abstractNumId="3" w15:restartNumberingAfterBreak="0">
    <w:multiLevelType w:val="hybridMultilevel"/>
    <w:lvl w:ilvl="0" w15:tentative="1">
      <w:start w:val="1"/>
      <w:numFmt w:val="decimal"/>
      <w:lvlText w:val="%1."/>
      <w:lvlJc w:val="left"/>
      <w:pPr>
        <w:ind w:left="420" w:hanging="42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2026-08-14T01:55:36.216Z</dcterms:created>
  <dcterms:modified xsi:type="dcterms:W3CDTF">2026-08-14T01:55:36.216Z</dcterms:modified>
</cp:coreProperties>
</file>

<file path=docProps/custom.xml><?xml version="1.0" encoding="utf-8"?>
<Properties xmlns="http://schemas.openxmlformats.org/officeDocument/2006/custom-properties" xmlns:vt="http://schemas.openxmlformats.org/officeDocument/2006/docPropsVTypes"/>
</file>