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 xml:space="preserve">AI Usage Policy - Draft v0.3</w:t>
      </w:r>
    </w:p>
    <w:p>
      <w:pPr>
        <w:spacing w:after="240"/>
      </w:pPr>
      <w:r>
        <w:rPr>
          <w:i/>
          <w:iCs/>
          <w:color w:val="595959"/>
          <w:sz w:val="20"/>
          <w:szCs w:val="20"/>
        </w:rPr>
        <w:t xml:space="preserve">Cedrus Trading SAL  |  Prepared by: IT Department  |  Status: Draft, not yet approved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1. Purpose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This policy exists to give staff guidance on using AI tools at work.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2. Scope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This applies to all employees of Cedrus Trading SAL.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3. General Principles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Employees should use AI responsibly and use good judgement.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AI tools can be helpful for drafting emails, summarising documents, and other everyday tasks.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Employees should not put anything inappropriate into an AI tool.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If in doubt, ask your manager.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4. Data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Do not share sensitive company information with AI tools. Use common sense about what is sensitive.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5. Approved Tools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Employees may use publicly available AI tools as needed for their role.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6. Review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This policy will be reviewed from time to time.</w:t>
      </w:r>
    </w:p>
    <w:p>
      <w:pPr>
        <w:spacing w:after="80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7. Questions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Contact IT with any questions about this policy.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b w:val="false"/>
          <w:bCs w:val="false"/>
          <w:i/>
          <w:iCs/>
          <w:color w:val="990011"/>
          <w:sz w:val="22"/>
          <w:szCs w:val="22"/>
        </w:rPr>
        <w:t xml:space="preserve">[Reviewer note, left in the document by mistake: this was adapted from a generic template we found online in about twenty minutes before the last audit. It does not name who owns it, does not say what 'sensitive' actually means for us - customer data? supplier pricing? employee records? - and does not say anything about client contracts, which is the thing Legal actually asked about. Needs a proper rewrite before this goes anywhere near the staff handbook.]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6"/>
        <w:szCs w:val="16"/>
      </w:rPr>
      <w:t xml:space="preserve">Cedrus Trading SAL - Draft policy, internal circulation only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2026-08-14T01:54:49.931Z</dcterms:created>
  <dcterms:modified xsi:type="dcterms:W3CDTF">2026-08-14T01:54:49.931Z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