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Minutes of the Board of Directors Meeting - Q3 2025</w:t>
      </w:r>
    </w:p>
    <w:p>
      <w:pPr>
        <w:spacing w:after="240"/>
      </w:pPr>
      <w:r>
        <w:rPr>
          <w:i/>
          <w:iCs/>
          <w:color w:val="595959"/>
          <w:sz w:val="20"/>
          <w:szCs w:val="20"/>
        </w:rPr>
        <w:t xml:space="preserve">Cedrus Trading SAL  |  Held Thursday, 9 October 2025, 09:00  |  Boardroom, Sin el Fil Head Office  |  Approved</w:t>
      </w:r>
    </w:p>
    <w:p>
      <w:pPr>
        <w:pStyle w:val="Heading1"/>
        <w:spacing w:after="120" w:before="280"/>
      </w:pPr>
      <w:r>
        <w:rPr>
          <w:b/>
          <w:bCs/>
          <w:color w:val="1E2761"/>
          <w:sz w:val="26"/>
          <w:szCs w:val="26"/>
        </w:rPr>
        <w:t xml:space="preserve">Present</w:t>
      </w:r>
    </w:p>
    <w:p>
      <w:pPr>
        <w:spacing w:after="160"/>
        <w:jc w:val="left"/>
      </w:pPr>
      <w:r>
        <w:rPr>
          <w:b w:val="false"/>
          <w:bCs w:val="false"/>
          <w:i w:val="false"/>
          <w:iCs w:val="false"/>
          <w:sz w:val="22"/>
          <w:szCs w:val="22"/>
        </w:rPr>
        <w:t xml:space="preserve">Georges Khoury (Chairman, in the chair), Nadim Saab (Chief Executive Officer), Layla Fares (Chief Financial Officer), Karim Abou Rjeily (Operations Director), Michel Rizk (Non-Executive Director), Samira Aziz (Non-Executive Director).</w:t>
      </w:r>
    </w:p>
    <w:p>
      <w:pPr>
        <w:pStyle w:val="Heading1"/>
        <w:spacing w:after="120" w:before="280"/>
      </w:pPr>
      <w:r>
        <w:rPr>
          <w:b/>
          <w:bCs/>
          <w:color w:val="1E2761"/>
          <w:sz w:val="26"/>
          <w:szCs w:val="26"/>
        </w:rPr>
        <w:t xml:space="preserve">Apologies</w:t>
      </w:r>
    </w:p>
    <w:p>
      <w:pPr>
        <w:spacing w:after="160"/>
        <w:jc w:val="left"/>
      </w:pPr>
      <w:r>
        <w:rPr>
          <w:b w:val="false"/>
          <w:bCs w:val="false"/>
          <w:i w:val="false"/>
          <w:iCs w:val="false"/>
          <w:sz w:val="22"/>
          <w:szCs w:val="22"/>
        </w:rPr>
        <w:t xml:space="preserve">None.</w:t>
      </w:r>
    </w:p>
    <w:p>
      <w:pPr>
        <w:pStyle w:val="Heading1"/>
        <w:spacing w:after="120" w:before="280"/>
      </w:pPr>
      <w:r>
        <w:rPr>
          <w:b/>
          <w:bCs/>
          <w:color w:val="1E2761"/>
          <w:sz w:val="26"/>
          <w:szCs w:val="26"/>
        </w:rPr>
        <w:t xml:space="preserve">1. Minutes of the Previous Meeting</w:t>
      </w:r>
    </w:p>
    <w:p>
      <w:pPr>
        <w:spacing w:after="160"/>
        <w:jc w:val="left"/>
      </w:pPr>
      <w:r>
        <w:rPr>
          <w:b w:val="false"/>
          <w:bCs w:val="false"/>
          <w:i w:val="false"/>
          <w:iCs w:val="false"/>
          <w:sz w:val="22"/>
          <w:szCs w:val="22"/>
        </w:rPr>
        <w:t xml:space="preserve">The minutes of the Q2 2025 meeting, held 10 July 2025, were approved as a true record and signed by the Chairman.</w:t>
      </w:r>
    </w:p>
    <w:p>
      <w:pPr>
        <w:pStyle w:val="Heading1"/>
        <w:spacing w:after="120" w:before="280"/>
      </w:pPr>
      <w:r>
        <w:rPr>
          <w:b/>
          <w:bCs/>
          <w:color w:val="1E2761"/>
          <w:sz w:val="26"/>
          <w:szCs w:val="26"/>
        </w:rPr>
        <w:t xml:space="preserve">2. Matters Arising</w:t>
      </w:r>
    </w:p>
    <w:p>
      <w:pPr>
        <w:spacing w:after="160"/>
        <w:jc w:val="left"/>
      </w:pPr>
      <w:r>
        <w:rPr>
          <w:b w:val="false"/>
          <w:bCs w:val="false"/>
          <w:i w:val="false"/>
          <w:iCs w:val="false"/>
          <w:sz w:val="22"/>
          <w:szCs w:val="22"/>
        </w:rPr>
        <w:t xml:space="preserve">The CFO confirmed the ERP upgrade project remained on track for Q3 completion, as previously reported. No other matters arose.</w:t>
      </w:r>
    </w:p>
    <w:p>
      <w:pPr>
        <w:pStyle w:val="Heading1"/>
        <w:spacing w:after="120" w:before="280"/>
      </w:pPr>
      <w:r>
        <w:rPr>
          <w:b/>
          <w:bCs/>
          <w:color w:val="1E2761"/>
          <w:sz w:val="26"/>
          <w:szCs w:val="26"/>
        </w:rPr>
        <w:t xml:space="preserve">3. Financial Performance Review</w:t>
      </w:r>
    </w:p>
    <w:p>
      <w:pPr>
        <w:spacing w:after="160"/>
        <w:jc w:val="left"/>
      </w:pPr>
      <w:r>
        <w:rPr>
          <w:b w:val="false"/>
          <w:bCs w:val="false"/>
          <w:i w:val="false"/>
          <w:iCs w:val="false"/>
          <w:sz w:val="22"/>
          <w:szCs w:val="22"/>
        </w:rPr>
        <w:t xml:space="preserve">The CFO presented the year-to-date financial position against budget. Revenue was reported as broadly in line with the 2025 objectives, with Lighting outperforming plan following early momentum ahead of the NORDLYS launch. The Board noted the report without further discussion.</w:t>
      </w:r>
    </w:p>
    <w:p>
      <w:pPr>
        <w:pStyle w:val="Heading1"/>
        <w:spacing w:after="120" w:before="280"/>
      </w:pPr>
      <w:r>
        <w:rPr>
          <w:b/>
          <w:bCs/>
          <w:color w:val="1E2761"/>
          <w:sz w:val="26"/>
          <w:szCs w:val="26"/>
        </w:rPr>
        <w:t xml:space="preserve">4. NORDLYS Launch Preparation</w:t>
      </w:r>
    </w:p>
    <w:p>
      <w:pPr>
        <w:spacing w:after="160"/>
        <w:jc w:val="left"/>
      </w:pPr>
      <w:r>
        <w:rPr>
          <w:b w:val="false"/>
          <w:bCs w:val="false"/>
          <w:i w:val="false"/>
          <w:iCs w:val="false"/>
          <w:sz w:val="22"/>
          <w:szCs w:val="22"/>
        </w:rPr>
        <w:t xml:space="preserve">The CEO updated the Board on preparation for the NORDLYS brand launch, confirming the trade launch event was scheduled for 12 February 2026 and that the twelve-month revenue target of USD 900,000 remained the working target. The Board asked to see a full launch plan at the Q4 meeting.</w:t>
      </w:r>
    </w:p>
    <w:p>
      <w:pPr>
        <w:pStyle w:val="Heading1"/>
        <w:spacing w:after="120" w:before="280"/>
      </w:pPr>
      <w:r>
        <w:rPr>
          <w:b/>
          <w:bCs/>
          <w:color w:val="1E2761"/>
          <w:sz w:val="26"/>
          <w:szCs w:val="26"/>
        </w:rPr>
        <w:t xml:space="preserve">5. Zahle Branch Update</w:t>
      </w:r>
    </w:p>
    <w:p>
      <w:pPr>
        <w:spacing w:after="160"/>
        <w:jc w:val="left"/>
      </w:pPr>
      <w:r>
        <w:rPr>
          <w:b w:val="false"/>
          <w:bCs w:val="false"/>
          <w:i w:val="false"/>
          <w:iCs w:val="false"/>
          <w:sz w:val="22"/>
          <w:szCs w:val="22"/>
        </w:rPr>
        <w:t xml:space="preserve">The Operations Director reported that the Zahle branch had been operating without a dedicated warehouse supervisor since June 2025 following a resignation, and that recruitment was underway. The Board asked to be updated on progress at the next meeting.</w:t>
      </w:r>
    </w:p>
    <w:p>
      <w:pPr>
        <w:pStyle w:val="Heading1"/>
        <w:spacing w:after="120" w:before="280"/>
      </w:pPr>
      <w:r>
        <w:rPr>
          <w:b/>
          <w:bCs/>
          <w:color w:val="1E2761"/>
          <w:sz w:val="26"/>
          <w:szCs w:val="26"/>
        </w:rPr>
        <w:t xml:space="preserve">6. Any Other Business</w:t>
      </w:r>
    </w:p>
    <w:p>
      <w:pPr>
        <w:spacing w:after="160"/>
        <w:jc w:val="left"/>
      </w:pPr>
      <w:r>
        <w:rPr>
          <w:b w:val="false"/>
          <w:bCs w:val="false"/>
          <w:i w:val="false"/>
          <w:iCs w:val="false"/>
          <w:sz w:val="22"/>
          <w:szCs w:val="22"/>
        </w:rPr>
        <w:t xml:space="preserve">There was no other business.</w:t>
      </w:r>
    </w:p>
    <w:p>
      <w:pPr>
        <w:pStyle w:val="Heading1"/>
        <w:spacing w:after="120" w:before="280"/>
      </w:pPr>
      <w:r>
        <w:rPr>
          <w:b/>
          <w:bCs/>
          <w:color w:val="1E2761"/>
          <w:sz w:val="26"/>
          <w:szCs w:val="26"/>
        </w:rPr>
        <w:t xml:space="preserve">Decisions and Actions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4950"/>
        <w:gridCol w:w="2250"/>
        <w:gridCol w:w="1800"/>
      </w:tblGrid>
      <w:tr>
        <w:trPr>
          <w:tblHeader/>
        </w:trPr>
        <w:tc>
          <w:tcPr>
            <w:tcW w:type="pct" w:w="55%"/>
            <w:shd w:fill="1E2761" w:val="clear"/>
            <w:tcMar>
              <w:top w:type="dxa" w:w="80"/>
              <w:left w:type="dxa" w:w="100"/>
              <w:bottom w:type="dxa" w:w="80"/>
              <w:right w:type="dxa" w:w="100"/>
            </w:tcMar>
          </w:tcPr>
          <w:p>
            <w:r>
              <w:rPr>
                <w:b/>
                <w:bCs/>
                <w:i w:val="false"/>
                <w:iCs w:val="false"/>
                <w:color w:val="FFFFFF"/>
                <w:sz w:val="20"/>
                <w:szCs w:val="20"/>
              </w:rPr>
              <w:t xml:space="preserve">Decision / Action</w:t>
            </w:r>
          </w:p>
        </w:tc>
        <w:tc>
          <w:tcPr>
            <w:tcW w:type="pct" w:w="25%"/>
            <w:shd w:fill="1E2761" w:val="clear"/>
            <w:tcMar>
              <w:top w:type="dxa" w:w="80"/>
              <w:left w:type="dxa" w:w="100"/>
              <w:bottom w:type="dxa" w:w="80"/>
              <w:right w:type="dxa" w:w="100"/>
            </w:tcMar>
          </w:tcPr>
          <w:p>
            <w:r>
              <w:rPr>
                <w:b/>
                <w:bCs/>
                <w:i w:val="false"/>
                <w:iCs w:val="false"/>
                <w:color w:val="FFFFFF"/>
                <w:sz w:val="20"/>
                <w:szCs w:val="20"/>
              </w:rPr>
              <w:t xml:space="preserve">Owner</w:t>
            </w:r>
          </w:p>
        </w:tc>
        <w:tc>
          <w:tcPr>
            <w:tcW w:type="pct" w:w="20%"/>
            <w:shd w:fill="1E2761" w:val="clear"/>
            <w:tcMar>
              <w:top w:type="dxa" w:w="80"/>
              <w:left w:type="dxa" w:w="100"/>
              <w:bottom w:type="dxa" w:w="80"/>
              <w:right w:type="dxa" w:w="100"/>
            </w:tcMar>
          </w:tcPr>
          <w:p>
            <w:r>
              <w:rPr>
                <w:b/>
                <w:bCs/>
                <w:i w:val="false"/>
                <w:iCs w:val="false"/>
                <w:color w:val="FFFFFF"/>
                <w:sz w:val="20"/>
                <w:szCs w:val="20"/>
              </w:rPr>
              <w:t xml:space="preserve">Deadline</w:t>
            </w:r>
          </w:p>
        </w:tc>
      </w:tr>
      <w:tr>
        <w:tc>
          <w:tcPr>
            <w:tcW w:type="pct" w:w="55%"/>
            <w:tcMar>
              <w:top w:type="dxa" w:w="80"/>
              <w:left w:type="dxa" w:w="100"/>
              <w:bottom w:type="dxa" w:w="80"/>
              <w:right w:type="dxa" w:w="100"/>
            </w:tcMar>
          </w:tcPr>
          <w:p>
            <w:r>
              <w:rPr>
                <w:b w:val="false"/>
                <w:bCs w:val="false"/>
                <w:i w:val="false"/>
                <w:iCs w:val="false"/>
                <w:sz w:val="20"/>
                <w:szCs w:val="20"/>
              </w:rPr>
              <w:t xml:space="preserve">Present full NORDLYS launch plan to the Board</w:t>
            </w:r>
          </w:p>
        </w:tc>
        <w:tc>
          <w:tcPr>
            <w:tcW w:type="pct" w:w="25%"/>
            <w:tcMar>
              <w:top w:type="dxa" w:w="80"/>
              <w:left w:type="dxa" w:w="100"/>
              <w:bottom w:type="dxa" w:w="80"/>
              <w:right w:type="dxa" w:w="100"/>
            </w:tcMar>
          </w:tcPr>
          <w:p>
            <w:r>
              <w:rPr>
                <w:b w:val="false"/>
                <w:bCs w:val="false"/>
                <w:i w:val="false"/>
                <w:iCs w:val="false"/>
                <w:sz w:val="20"/>
                <w:szCs w:val="20"/>
              </w:rPr>
              <w:t xml:space="preserve">CEO</w:t>
            </w:r>
          </w:p>
        </w:tc>
        <w:tc>
          <w:tcPr>
            <w:tcW w:type="pct" w:w="20%"/>
            <w:tcMar>
              <w:top w:type="dxa" w:w="80"/>
              <w:left w:type="dxa" w:w="100"/>
              <w:bottom w:type="dxa" w:w="80"/>
              <w:right w:type="dxa" w:w="100"/>
            </w:tcMar>
          </w:tcPr>
          <w:p>
            <w:r>
              <w:rPr>
                <w:b w:val="false"/>
                <w:bCs w:val="false"/>
                <w:i w:val="false"/>
                <w:iCs w:val="false"/>
                <w:sz w:val="20"/>
                <w:szCs w:val="20"/>
              </w:rPr>
              <w:t xml:space="preserve">Q4 2025 board meeting</w:t>
            </w:r>
          </w:p>
        </w:tc>
      </w:tr>
      <w:tr>
        <w:tc>
          <w:tcPr>
            <w:tcW w:type="pct" w:w="55%"/>
            <w:tcMar>
              <w:top w:type="dxa" w:w="80"/>
              <w:left w:type="dxa" w:w="100"/>
              <w:bottom w:type="dxa" w:w="80"/>
              <w:right w:type="dxa" w:w="100"/>
            </w:tcMar>
          </w:tcPr>
          <w:p>
            <w:r>
              <w:rPr>
                <w:b w:val="false"/>
                <w:bCs w:val="false"/>
                <w:i w:val="false"/>
                <w:iCs w:val="false"/>
                <w:sz w:val="20"/>
                <w:szCs w:val="20"/>
              </w:rPr>
              <w:t xml:space="preserve">Update the Board on Zahle warehouse supervisor recruitment</w:t>
            </w:r>
          </w:p>
        </w:tc>
        <w:tc>
          <w:tcPr>
            <w:tcW w:type="pct" w:w="25%"/>
            <w:tcMar>
              <w:top w:type="dxa" w:w="80"/>
              <w:left w:type="dxa" w:w="100"/>
              <w:bottom w:type="dxa" w:w="80"/>
              <w:right w:type="dxa" w:w="100"/>
            </w:tcMar>
          </w:tcPr>
          <w:p>
            <w:r>
              <w:rPr>
                <w:b w:val="false"/>
                <w:bCs w:val="false"/>
                <w:i w:val="false"/>
                <w:iCs w:val="false"/>
                <w:sz w:val="20"/>
                <w:szCs w:val="20"/>
              </w:rPr>
              <w:t xml:space="preserve">Operations Director</w:t>
            </w:r>
          </w:p>
        </w:tc>
        <w:tc>
          <w:tcPr>
            <w:tcW w:type="pct" w:w="20%"/>
            <w:tcMar>
              <w:top w:type="dxa" w:w="80"/>
              <w:left w:type="dxa" w:w="100"/>
              <w:bottom w:type="dxa" w:w="80"/>
              <w:right w:type="dxa" w:w="100"/>
            </w:tcMar>
          </w:tcPr>
          <w:p>
            <w:r>
              <w:rPr>
                <w:b w:val="false"/>
                <w:bCs w:val="false"/>
                <w:i w:val="false"/>
                <w:iCs w:val="false"/>
                <w:sz w:val="20"/>
                <w:szCs w:val="20"/>
              </w:rPr>
              <w:t xml:space="preserve">Q4 2025 board meeting</w:t>
            </w:r>
          </w:p>
        </w:tc>
      </w:tr>
    </w:tbl>
    <w:p>
      <w:pPr>
        <w:spacing w:after="160"/>
        <w:jc w:val="left"/>
      </w:pPr>
      <w:r>
        <w:rPr>
          <w:b w:val="false"/>
          <w:bCs w:val="false"/>
          <w:i w:val="false"/>
          <w:iCs w:val="false"/>
          <w:sz w:val="22"/>
          <w:szCs w:val="22"/>
        </w:rPr>
        <w:t xml:space="preserve"/>
      </w:r>
    </w:p>
    <w:p>
      <w:pPr>
        <w:spacing w:after="160"/>
        <w:jc w:val="left"/>
      </w:pPr>
      <w:r>
        <w:rPr>
          <w:b w:val="false"/>
          <w:bCs w:val="false"/>
          <w:i/>
          <w:iCs/>
          <w:sz w:val="22"/>
          <w:szCs w:val="22"/>
        </w:rPr>
        <w:t xml:space="preserve">The meeting closed at 10:35.</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Board Minutes, Q3 2025 - Approved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2026-08-14T02:01:57.800Z</dcterms:created>
  <dcterms:modified xsi:type="dcterms:W3CDTF">2026-08-14T02:01:57.800Z</dcterms:modified>
</cp:coreProperties>
</file>

<file path=docProps/custom.xml><?xml version="1.0" encoding="utf-8"?>
<Properties xmlns="http://schemas.openxmlformats.org/officeDocument/2006/custom-properties" xmlns:vt="http://schemas.openxmlformats.org/officeDocument/2006/docPropsVTypes"/>
</file>