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Title"/>
        <w:spacing w:after="80"/>
      </w:pPr>
      <w:r>
        <w:rPr>
          <w:b/>
          <w:bCs/>
          <w:color w:val="1E2761"/>
          <w:sz w:val="32"/>
          <w:szCs w:val="32"/>
        </w:rPr>
        <w:t xml:space="preserve">RFQ CT-2026-04 - Mandatory Requirements</w:t>
      </w:r>
    </w:p>
    <w:p>
      <w:pPr>
        <w:spacing w:after="240"/>
      </w:pPr>
      <w:r>
        <w:rPr>
          <w:i/>
          <w:iCs/>
          <w:color w:val="595959"/>
          <w:sz w:val="20"/>
          <w:szCs w:val="20"/>
        </w:rPr>
        <w:t xml:space="preserve">Cedrus Trading SAL  |  Annual Cable Supply Contract  |  Procurement Department</w:t>
      </w:r>
    </w:p>
    <w:p>
      <w:pPr>
        <w:spacing w:after="160"/>
        <w:jc w:val="left"/>
      </w:pPr>
      <w:r>
        <w:rPr>
          <w:b w:val="false"/>
          <w:bCs w:val="false"/>
          <w:i w:val="false"/>
          <w:iCs w:val="false"/>
          <w:sz w:val="22"/>
          <w:szCs w:val="22"/>
        </w:rPr>
        <w:t xml:space="preserve">The six requirements below are mandatory gates, not scored criteria. A bid failing any one of these is disqualified before scoring, regardless of price. Bids that pass all six are then scored against the weighted rubric in Role-06-Procurement-Scoring-Rubric.xlsx.</w:t>
      </w:r>
    </w:p>
    <w:p>
      <w:pPr>
        <w:pStyle w:val="Heading1"/>
        <w:spacing w:after="120" w:before="280"/>
      </w:pPr>
      <w:r>
        <w:rPr>
          <w:b/>
          <w:bCs/>
          <w:color w:val="1E2761"/>
          <w:sz w:val="26"/>
          <w:szCs w:val="26"/>
        </w:rPr>
        <w:t xml:space="preserve">The Six Mandatory Requirements</w:t>
      </w:r>
    </w:p>
    <w:p>
      <w:pPr>
        <w:pStyle w:val="ListParagraph"/>
        <w:numPr>
          <w:ilvl w:val="0"/>
          <w:numId w:val="2"/>
        </w:numPr>
        <w:spacing w:after="100"/>
      </w:pPr>
      <w:r>
        <w:rPr>
          <w:b w:val="false"/>
          <w:bCs w:val="false"/>
          <w:sz w:val="22"/>
          <w:szCs w:val="22"/>
        </w:rPr>
        <w:t xml:space="preserve">Fire performance: all cable items must carry IEC 60331 circuit-integrity certification from an independent, accredited third-party test house. A manufacturer's self-declaration of compliance, without an accompanying third-party certificate, does not satisfy this requirement.</w:t>
      </w:r>
    </w:p>
    <w:p>
      <w:pPr>
        <w:pStyle w:val="ListParagraph"/>
        <w:numPr>
          <w:ilvl w:val="0"/>
          <w:numId w:val="2"/>
        </w:numPr>
        <w:spacing w:after="100"/>
      </w:pPr>
      <w:r>
        <w:rPr>
          <w:b w:val="false"/>
          <w:bCs w:val="false"/>
          <w:sz w:val="22"/>
          <w:szCs w:val="22"/>
        </w:rPr>
        <w:t xml:space="preserve">Conductor material: all items must use 100% electrolytic copper conductors. Copper-clad aluminium (CCA) or any aluminium-conductor alternative is not acceptable on any item in the RFQ schedule, including as a substitute on individual line items.</w:t>
      </w:r>
    </w:p>
    <w:p>
      <w:pPr>
        <w:pStyle w:val="ListParagraph"/>
        <w:numPr>
          <w:ilvl w:val="0"/>
          <w:numId w:val="2"/>
        </w:numPr>
        <w:spacing w:after="100"/>
      </w:pPr>
      <w:r>
        <w:rPr>
          <w:b w:val="false"/>
          <w:bCs w:val="false"/>
          <w:sz w:val="22"/>
          <w:szCs w:val="22"/>
        </w:rPr>
        <w:t xml:space="preserve">Warranty: a minimum manufacturer's warranty of 12 months from the date of delivery to Beirut, in writing, on all supplied items.</w:t>
      </w:r>
    </w:p>
    <w:p>
      <w:pPr>
        <w:pStyle w:val="ListParagraph"/>
        <w:numPr>
          <w:ilvl w:val="0"/>
          <w:numId w:val="2"/>
        </w:numPr>
        <w:spacing w:after="100"/>
      </w:pPr>
      <w:r>
        <w:rPr>
          <w:b w:val="false"/>
          <w:bCs w:val="false"/>
          <w:sz w:val="22"/>
          <w:szCs w:val="22"/>
        </w:rPr>
        <w:t xml:space="preserve">Payment terms: a minimum 30% deposit on order with the balance payable against shipping documents (or a more favourable term to Cedrus). 100% cash-in-advance before production or shipment is not acceptable under any circumstances.</w:t>
      </w:r>
    </w:p>
    <w:p>
      <w:pPr>
        <w:pStyle w:val="ListParagraph"/>
        <w:numPr>
          <w:ilvl w:val="0"/>
          <w:numId w:val="2"/>
        </w:numPr>
        <w:spacing w:after="100"/>
      </w:pPr>
      <w:r>
        <w:rPr>
          <w:b w:val="false"/>
          <w:bCs w:val="false"/>
          <w:sz w:val="22"/>
          <w:szCs w:val="22"/>
        </w:rPr>
        <w:t xml:space="preserve">Lead time: a guaranteed maximum lead time of 60 calendar days from purchase order to arrival at Beirut port, stated in the bid as a guaranteed date, not an indicative or provisional estimate. A lead time that is itself compliant but explicitly qualified as 'not guaranteed' or 'indicative' does not satisfy this requirement.</w:t>
      </w:r>
    </w:p>
    <w:p>
      <w:pPr>
        <w:pStyle w:val="ListParagraph"/>
        <w:numPr>
          <w:ilvl w:val="0"/>
          <w:numId w:val="2"/>
        </w:numPr>
        <w:spacing w:after="100"/>
      </w:pPr>
      <w:r>
        <w:rPr>
          <w:b w:val="false"/>
          <w:bCs w:val="false"/>
          <w:sz w:val="22"/>
          <w:szCs w:val="22"/>
        </w:rPr>
        <w:t xml:space="preserve">Country of origin: a single, fixed country of origin declared per line item, confirmed in writing for the full 12-month contract term. Origin that varies by consignment, or that is only confirmed retrospectively on the bill of lading, does not satisfy this requirement.</w:t>
      </w:r>
    </w:p>
    <w:p>
      <w:pPr>
        <w:pStyle w:val="Heading1"/>
        <w:spacing w:after="120" w:before="280"/>
      </w:pPr>
      <w:r>
        <w:rPr>
          <w:b/>
          <w:bCs/>
          <w:color w:val="1E2761"/>
          <w:sz w:val="26"/>
          <w:szCs w:val="26"/>
        </w:rPr>
        <w:t xml:space="preserve">Process</w:t>
      </w:r>
    </w:p>
    <w:p>
      <w:pPr>
        <w:spacing w:after="160"/>
        <w:jc w:val="left"/>
      </w:pPr>
      <w:r>
        <w:rPr>
          <w:b w:val="false"/>
          <w:bCs w:val="false"/>
          <w:i w:val="false"/>
          <w:iCs w:val="false"/>
          <w:sz w:val="22"/>
          <w:szCs w:val="22"/>
        </w:rPr>
        <w:t xml:space="preserve">Screen every bid against all six requirements before any price comparison or scoring takes place. Document the specific requirement(s) each disqualified bid fails, with the evidence from the bid itself. Only bids passing all six proceed to normalisation and scoring.</w:t>
      </w:r>
    </w:p>
    <w:p>
      <w:pPr>
        <w:spacing w:after="160"/>
        <w:jc w:val="left"/>
      </w:pPr>
      <w:r>
        <w:rPr>
          <w:b/>
          <w:bCs/>
          <w:i w:val="false"/>
          <w:iCs w:val="false"/>
          <w:sz w:val="22"/>
          <w:szCs w:val="22"/>
        </w:rPr>
        <w:t xml:space="preserve">Any requirement not clearly addressed in a bid should be treated as not evidenced, not as assumed compliant - the burden is on the bidder to demonstrate compliance in writing.</w:t>
      </w:r>
    </w:p>
    <w:sectPr>
      <w:footerReference w:type="default" r:id="rId7"/>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595959"/>
        <w:sz w:val="16"/>
        <w:szCs w:val="16"/>
      </w:rPr>
      <w:t xml:space="preserve">Cedrus Trading SAL - Procurement Department, RFQ CT-2026-04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360" w:hanging="360"/>
      </w:pPr>
    </w:lvl>
  </w:abstractNum>
  <w:abstractNum w:abstractNumId="3" w15:restartNumberingAfterBreak="0">
    <w:multiLevelType w:val="hybridMultilevel"/>
    <w:lvl w:ilvl="0" w15:tentative="1">
      <w:start w:val="1"/>
      <w:numFmt w:val="decimal"/>
      <w:lvlText w:val="%1."/>
      <w:lvlJc w:val="left"/>
      <w:pPr>
        <w:ind w:left="420" w:hanging="420"/>
      </w:pPr>
    </w:lvl>
  </w:abstractNum>
  <w:num w:numId="1">
    <w:abstractNumId w:val="1"/>
    <w:lvlOverride w:ilvl="0">
      <w:startOverride w:val="1"/>
    </w:lvlOverride>
  </w:num>
  <w:num w:numId="2">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2026-08-14T01:59:23.240Z</dcterms:created>
  <dcterms:modified xsi:type="dcterms:W3CDTF">2026-08-14T01:59:23.240Z</dcterms:modified>
</cp:coreProperties>
</file>

<file path=docProps/custom.xml><?xml version="1.0" encoding="utf-8"?>
<Properties xmlns="http://schemas.openxmlformats.org/officeDocument/2006/custom-properties" xmlns:vt="http://schemas.openxmlformats.org/officeDocument/2006/docPropsVTypes"/>
</file>