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80"/>
      </w:pPr>
      <w:r>
        <w:rPr>
          <w:b/>
          <w:bCs/>
          <w:color w:val="1E2761"/>
          <w:sz w:val="32"/>
          <w:szCs w:val="32"/>
        </w:rPr>
        <w:t xml:space="preserve">FX Rates and Month-End Close Notes - November 2025</w:t>
      </w:r>
    </w:p>
    <w:p>
      <w:pPr>
        <w:spacing w:after="240"/>
      </w:pPr>
      <w:r>
        <w:rPr>
          <w:i/>
          <w:iCs/>
          <w:color w:val="595959"/>
          <w:sz w:val="20"/>
          <w:szCs w:val="20"/>
        </w:rPr>
        <w:t xml:space="preserve">Cedrus Trading SAL  |  Finance Department  |  For use in the November close review</w:t>
      </w:r>
    </w:p>
    <w:p>
      <w:pPr>
        <w:pStyle w:val="Heading1"/>
        <w:spacing w:after="120" w:before="280"/>
      </w:pPr>
      <w:r>
        <w:rPr>
          <w:b/>
          <w:bCs/>
          <w:color w:val="1E2761"/>
          <w:sz w:val="26"/>
          <w:szCs w:val="26"/>
        </w:rPr>
        <w:t xml:space="preserve">1. Approved Month-End FX Rates</w:t>
      </w:r>
    </w:p>
    <w:p>
      <w:pPr>
        <w:spacing w:after="160"/>
        <w:jc w:val="left"/>
      </w:pPr>
      <w:r>
        <w:rPr>
          <w:b w:val="false"/>
          <w:bCs w:val="false"/>
          <w:i w:val="false"/>
          <w:iCs w:val="false"/>
          <w:sz w:val="22"/>
          <w:szCs w:val="22"/>
        </w:rPr>
        <w:t xml:space="preserve">Finance applies the following Central Bank / Treasury reference closing rates to each month's postings. Each month's rate is approved by the CFO on the first business day of the following month and circulated to Accounts Payable before postings are finalised.</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2250"/>
        <w:gridCol w:w="2250"/>
        <w:gridCol w:w="2250"/>
        <w:gridCol w:w="2250"/>
      </w:tblGrid>
      <w:tr>
        <w:trPr>
          <w:tblHeader/>
        </w:trPr>
        <w:tc>
          <w:tcPr>
            <w:tcW w:type="pct" w:w="25%"/>
            <w:shd w:fill="1E2761" w:val="clear"/>
            <w:tcMar>
              <w:top w:type="dxa" w:w="80"/>
              <w:left w:type="dxa" w:w="100"/>
              <w:bottom w:type="dxa" w:w="80"/>
              <w:right w:type="dxa" w:w="100"/>
            </w:tcMar>
          </w:tcPr>
          <w:p>
            <w:r>
              <w:rPr>
                <w:b/>
                <w:bCs/>
                <w:i w:val="false"/>
                <w:iCs w:val="false"/>
                <w:color w:val="FFFFFF"/>
                <w:sz w:val="20"/>
                <w:szCs w:val="20"/>
              </w:rPr>
              <w:t xml:space="preserve">Month</w:t>
            </w:r>
          </w:p>
        </w:tc>
        <w:tc>
          <w:tcPr>
            <w:tcW w:type="pct" w:w="25%"/>
            <w:shd w:fill="1E2761" w:val="clear"/>
            <w:tcMar>
              <w:top w:type="dxa" w:w="80"/>
              <w:left w:type="dxa" w:w="100"/>
              <w:bottom w:type="dxa" w:w="80"/>
              <w:right w:type="dxa" w:w="100"/>
            </w:tcMar>
          </w:tcPr>
          <w:p>
            <w:r>
              <w:rPr>
                <w:b/>
                <w:bCs/>
                <w:i w:val="false"/>
                <w:iCs w:val="false"/>
                <w:color w:val="FFFFFF"/>
                <w:sz w:val="20"/>
                <w:szCs w:val="20"/>
              </w:rPr>
              <w:t xml:space="preserve">EUR/USD</w:t>
            </w:r>
          </w:p>
        </w:tc>
        <w:tc>
          <w:tcPr>
            <w:tcW w:type="pct" w:w="25%"/>
            <w:shd w:fill="1E2761" w:val="clear"/>
            <w:tcMar>
              <w:top w:type="dxa" w:w="80"/>
              <w:left w:type="dxa" w:w="100"/>
              <w:bottom w:type="dxa" w:w="80"/>
              <w:right w:type="dxa" w:w="100"/>
            </w:tcMar>
          </w:tcPr>
          <w:p>
            <w:r>
              <w:rPr>
                <w:b/>
                <w:bCs/>
                <w:i w:val="false"/>
                <w:iCs w:val="false"/>
                <w:color w:val="FFFFFF"/>
                <w:sz w:val="20"/>
                <w:szCs w:val="20"/>
              </w:rPr>
              <w:t xml:space="preserve">TRY/USD</w:t>
            </w:r>
          </w:p>
        </w:tc>
        <w:tc>
          <w:tcPr>
            <w:tcW w:type="pct" w:w="25%"/>
            <w:shd w:fill="1E2761" w:val="clear"/>
            <w:tcMar>
              <w:top w:type="dxa" w:w="80"/>
              <w:left w:type="dxa" w:w="100"/>
              <w:bottom w:type="dxa" w:w="80"/>
              <w:right w:type="dxa" w:w="100"/>
            </w:tcMar>
          </w:tcPr>
          <w:p>
            <w:r>
              <w:rPr>
                <w:b/>
                <w:bCs/>
                <w:i w:val="false"/>
                <w:iCs w:val="false"/>
                <w:color w:val="FFFFFF"/>
                <w:sz w:val="20"/>
                <w:szCs w:val="20"/>
              </w:rPr>
              <w:t xml:space="preserve">LBP/USD</w:t>
            </w:r>
          </w:p>
        </w:tc>
      </w:tr>
      <w:tr>
        <w:tc>
          <w:tcPr>
            <w:tcW w:type="pct" w:w="25%"/>
            <w:tcMar>
              <w:top w:type="dxa" w:w="80"/>
              <w:left w:type="dxa" w:w="100"/>
              <w:bottom w:type="dxa" w:w="80"/>
              <w:right w:type="dxa" w:w="100"/>
            </w:tcMar>
          </w:tcPr>
          <w:p>
            <w:r>
              <w:rPr>
                <w:b w:val="false"/>
                <w:bCs w:val="false"/>
                <w:i w:val="false"/>
                <w:iCs w:val="false"/>
                <w:sz w:val="20"/>
                <w:szCs w:val="20"/>
              </w:rPr>
              <w:t xml:space="preserve">August 2025</w:t>
            </w:r>
          </w:p>
        </w:tc>
        <w:tc>
          <w:tcPr>
            <w:tcW w:type="pct" w:w="25%"/>
            <w:tcMar>
              <w:top w:type="dxa" w:w="80"/>
              <w:left w:type="dxa" w:w="100"/>
              <w:bottom w:type="dxa" w:w="80"/>
              <w:right w:type="dxa" w:w="100"/>
            </w:tcMar>
          </w:tcPr>
          <w:p>
            <w:r>
              <w:rPr>
                <w:b w:val="false"/>
                <w:bCs w:val="false"/>
                <w:i w:val="false"/>
                <w:iCs w:val="false"/>
                <w:sz w:val="20"/>
                <w:szCs w:val="20"/>
              </w:rPr>
              <w:t xml:space="preserve">1.091</w:t>
            </w:r>
          </w:p>
        </w:tc>
        <w:tc>
          <w:tcPr>
            <w:tcW w:type="pct" w:w="25%"/>
            <w:tcMar>
              <w:top w:type="dxa" w:w="80"/>
              <w:left w:type="dxa" w:w="100"/>
              <w:bottom w:type="dxa" w:w="80"/>
              <w:right w:type="dxa" w:w="100"/>
            </w:tcMar>
          </w:tcPr>
          <w:p>
            <w:r>
              <w:rPr>
                <w:b w:val="false"/>
                <w:bCs w:val="false"/>
                <w:i w:val="false"/>
                <w:iCs w:val="false"/>
                <w:sz w:val="20"/>
                <w:szCs w:val="20"/>
              </w:rPr>
              <w:t xml:space="preserve">32.90</w:t>
            </w:r>
          </w:p>
        </w:tc>
        <w:tc>
          <w:tcPr>
            <w:tcW w:type="pct" w:w="25%"/>
            <w:tcMar>
              <w:top w:type="dxa" w:w="80"/>
              <w:left w:type="dxa" w:w="100"/>
              <w:bottom w:type="dxa" w:w="80"/>
              <w:right w:type="dxa" w:w="100"/>
            </w:tcMar>
          </w:tcPr>
          <w:p>
            <w:r>
              <w:rPr>
                <w:b w:val="false"/>
                <w:bCs w:val="false"/>
                <w:i w:val="false"/>
                <w:iCs w:val="false"/>
                <w:sz w:val="20"/>
                <w:szCs w:val="20"/>
              </w:rPr>
              <w:t xml:space="preserve">89,500</w:t>
            </w:r>
          </w:p>
        </w:tc>
      </w:tr>
      <w:tr>
        <w:tc>
          <w:tcPr>
            <w:tcW w:type="pct" w:w="25%"/>
            <w:tcMar>
              <w:top w:type="dxa" w:w="80"/>
              <w:left w:type="dxa" w:w="100"/>
              <w:bottom w:type="dxa" w:w="80"/>
              <w:right w:type="dxa" w:w="100"/>
            </w:tcMar>
          </w:tcPr>
          <w:p>
            <w:r>
              <w:rPr>
                <w:b w:val="false"/>
                <w:bCs w:val="false"/>
                <w:i w:val="false"/>
                <w:iCs w:val="false"/>
                <w:sz w:val="20"/>
                <w:szCs w:val="20"/>
              </w:rPr>
              <w:t xml:space="preserve">September 2025</w:t>
            </w:r>
          </w:p>
        </w:tc>
        <w:tc>
          <w:tcPr>
            <w:tcW w:type="pct" w:w="25%"/>
            <w:tcMar>
              <w:top w:type="dxa" w:w="80"/>
              <w:left w:type="dxa" w:w="100"/>
              <w:bottom w:type="dxa" w:w="80"/>
              <w:right w:type="dxa" w:w="100"/>
            </w:tcMar>
          </w:tcPr>
          <w:p>
            <w:r>
              <w:rPr>
                <w:b w:val="false"/>
                <w:bCs w:val="false"/>
                <w:i w:val="false"/>
                <w:iCs w:val="false"/>
                <w:sz w:val="20"/>
                <w:szCs w:val="20"/>
              </w:rPr>
              <w:t xml:space="preserve">1.087</w:t>
            </w:r>
          </w:p>
        </w:tc>
        <w:tc>
          <w:tcPr>
            <w:tcW w:type="pct" w:w="25%"/>
            <w:tcMar>
              <w:top w:type="dxa" w:w="80"/>
              <w:left w:type="dxa" w:w="100"/>
              <w:bottom w:type="dxa" w:w="80"/>
              <w:right w:type="dxa" w:w="100"/>
            </w:tcMar>
          </w:tcPr>
          <w:p>
            <w:r>
              <w:rPr>
                <w:b w:val="false"/>
                <w:bCs w:val="false"/>
                <w:i w:val="false"/>
                <w:iCs w:val="false"/>
                <w:sz w:val="20"/>
                <w:szCs w:val="20"/>
              </w:rPr>
              <w:t xml:space="preserve">32.20</w:t>
            </w:r>
          </w:p>
        </w:tc>
        <w:tc>
          <w:tcPr>
            <w:tcW w:type="pct" w:w="25%"/>
            <w:tcMar>
              <w:top w:type="dxa" w:w="80"/>
              <w:left w:type="dxa" w:w="100"/>
              <w:bottom w:type="dxa" w:w="80"/>
              <w:right w:type="dxa" w:w="100"/>
            </w:tcMar>
          </w:tcPr>
          <w:p>
            <w:r>
              <w:rPr>
                <w:b w:val="false"/>
                <w:bCs w:val="false"/>
                <w:i w:val="false"/>
                <w:iCs w:val="false"/>
                <w:sz w:val="20"/>
                <w:szCs w:val="20"/>
              </w:rPr>
              <w:t xml:space="preserve">89,500</w:t>
            </w:r>
          </w:p>
        </w:tc>
      </w:tr>
      <w:tr>
        <w:tc>
          <w:tcPr>
            <w:tcW w:type="pct" w:w="25%"/>
            <w:tcMar>
              <w:top w:type="dxa" w:w="80"/>
              <w:left w:type="dxa" w:w="100"/>
              <w:bottom w:type="dxa" w:w="80"/>
              <w:right w:type="dxa" w:w="100"/>
            </w:tcMar>
          </w:tcPr>
          <w:p>
            <w:r>
              <w:rPr>
                <w:b w:val="false"/>
                <w:bCs w:val="false"/>
                <w:i w:val="false"/>
                <w:iCs w:val="false"/>
                <w:sz w:val="20"/>
                <w:szCs w:val="20"/>
              </w:rPr>
              <w:t xml:space="preserve">October 2025</w:t>
            </w:r>
          </w:p>
        </w:tc>
        <w:tc>
          <w:tcPr>
            <w:tcW w:type="pct" w:w="25%"/>
            <w:tcMar>
              <w:top w:type="dxa" w:w="80"/>
              <w:left w:type="dxa" w:w="100"/>
              <w:bottom w:type="dxa" w:w="80"/>
              <w:right w:type="dxa" w:w="100"/>
            </w:tcMar>
          </w:tcPr>
          <w:p>
            <w:r>
              <w:rPr>
                <w:b w:val="false"/>
                <w:bCs w:val="false"/>
                <w:i w:val="false"/>
                <w:iCs w:val="false"/>
                <w:sz w:val="20"/>
                <w:szCs w:val="20"/>
              </w:rPr>
              <w:t xml:space="preserve">1.084</w:t>
            </w:r>
          </w:p>
        </w:tc>
        <w:tc>
          <w:tcPr>
            <w:tcW w:type="pct" w:w="25%"/>
            <w:tcMar>
              <w:top w:type="dxa" w:w="80"/>
              <w:left w:type="dxa" w:w="100"/>
              <w:bottom w:type="dxa" w:w="80"/>
              <w:right w:type="dxa" w:w="100"/>
            </w:tcMar>
          </w:tcPr>
          <w:p>
            <w:r>
              <w:rPr>
                <w:b w:val="false"/>
                <w:bCs w:val="false"/>
                <w:i w:val="false"/>
                <w:iCs w:val="false"/>
                <w:sz w:val="20"/>
                <w:szCs w:val="20"/>
              </w:rPr>
              <w:t xml:space="preserve">31.85</w:t>
            </w:r>
          </w:p>
        </w:tc>
        <w:tc>
          <w:tcPr>
            <w:tcW w:type="pct" w:w="25%"/>
            <w:tcMar>
              <w:top w:type="dxa" w:w="80"/>
              <w:left w:type="dxa" w:w="100"/>
              <w:bottom w:type="dxa" w:w="80"/>
              <w:right w:type="dxa" w:w="100"/>
            </w:tcMar>
          </w:tcPr>
          <w:p>
            <w:r>
              <w:rPr>
                <w:b w:val="false"/>
                <w:bCs w:val="false"/>
                <w:i w:val="false"/>
                <w:iCs w:val="false"/>
                <w:sz w:val="20"/>
                <w:szCs w:val="20"/>
              </w:rPr>
              <w:t xml:space="preserve">89,500</w:t>
            </w:r>
          </w:p>
        </w:tc>
      </w:tr>
      <w:tr>
        <w:tc>
          <w:tcPr>
            <w:tcW w:type="pct" w:w="25%"/>
            <w:tcMar>
              <w:top w:type="dxa" w:w="80"/>
              <w:left w:type="dxa" w:w="100"/>
              <w:bottom w:type="dxa" w:w="80"/>
              <w:right w:type="dxa" w:w="100"/>
            </w:tcMar>
          </w:tcPr>
          <w:p>
            <w:r>
              <w:rPr>
                <w:b w:val="false"/>
                <w:bCs w:val="false"/>
                <w:i w:val="false"/>
                <w:iCs w:val="false"/>
                <w:sz w:val="20"/>
                <w:szCs w:val="20"/>
              </w:rPr>
              <w:t xml:space="preserve">November 2025</w:t>
            </w:r>
          </w:p>
        </w:tc>
        <w:tc>
          <w:tcPr>
            <w:tcW w:type="pct" w:w="25%"/>
            <w:tcMar>
              <w:top w:type="dxa" w:w="80"/>
              <w:left w:type="dxa" w:w="100"/>
              <w:bottom w:type="dxa" w:w="80"/>
              <w:right w:type="dxa" w:w="100"/>
            </w:tcMar>
          </w:tcPr>
          <w:p>
            <w:r>
              <w:rPr>
                <w:b w:val="false"/>
                <w:bCs w:val="false"/>
                <w:i w:val="false"/>
                <w:iCs w:val="false"/>
                <w:sz w:val="20"/>
                <w:szCs w:val="20"/>
              </w:rPr>
              <w:t xml:space="preserve">1.082</w:t>
            </w:r>
          </w:p>
        </w:tc>
        <w:tc>
          <w:tcPr>
            <w:tcW w:type="pct" w:w="25%"/>
            <w:tcMar>
              <w:top w:type="dxa" w:w="80"/>
              <w:left w:type="dxa" w:w="100"/>
              <w:bottom w:type="dxa" w:w="80"/>
              <w:right w:type="dxa" w:w="100"/>
            </w:tcMar>
          </w:tcPr>
          <w:p>
            <w:r>
              <w:rPr>
                <w:b w:val="false"/>
                <w:bCs w:val="false"/>
                <w:i w:val="false"/>
                <w:iCs w:val="false"/>
                <w:sz w:val="20"/>
                <w:szCs w:val="20"/>
              </w:rPr>
              <w:t xml:space="preserve">34.10</w:t>
            </w:r>
          </w:p>
        </w:tc>
        <w:tc>
          <w:tcPr>
            <w:tcW w:type="pct" w:w="25%"/>
            <w:tcMar>
              <w:top w:type="dxa" w:w="80"/>
              <w:left w:type="dxa" w:w="100"/>
              <w:bottom w:type="dxa" w:w="80"/>
              <w:right w:type="dxa" w:w="100"/>
            </w:tcMar>
          </w:tcPr>
          <w:p>
            <w:r>
              <w:rPr>
                <w:b w:val="false"/>
                <w:bCs w:val="false"/>
                <w:i w:val="false"/>
                <w:iCs w:val="false"/>
                <w:sz w:val="20"/>
                <w:szCs w:val="20"/>
              </w:rPr>
              <w:t xml:space="preserve">89,500</w:t>
            </w:r>
          </w:p>
        </w:tc>
      </w:tr>
    </w:tbl>
    <w:p>
      <w:pPr>
        <w:spacing w:after="160"/>
        <w:jc w:val="left"/>
      </w:pPr>
      <w:r>
        <w:rPr>
          <w:b w:val="false"/>
          <w:bCs w:val="false"/>
          <w:i w:val="false"/>
          <w:iCs w:val="false"/>
          <w:sz w:val="22"/>
          <w:szCs w:val="22"/>
        </w:rPr>
        <w:t xml:space="preserve"/>
      </w:r>
    </w:p>
    <w:p>
      <w:pPr>
        <w:spacing w:after="160"/>
        <w:jc w:val="left"/>
      </w:pPr>
      <w:r>
        <w:rPr>
          <w:b/>
          <w:bCs/>
          <w:i w:val="false"/>
          <w:iCs w:val="false"/>
          <w:sz w:val="22"/>
          <w:szCs w:val="22"/>
        </w:rPr>
        <w:t xml:space="preserve">Note the Turkish lira moved sharply between the October and November closing rates (31.85 to 34.10 TRY/USD, a weakening of the lira of roughly 7%). Any inbound freight invoice from a Turkish supplier settled in TRY and posted in November must use the November rate of 34.10, not the October rate - postings at the wrong rate overstate the USD cost, since more USD is implied per TRY translated at the stronger (lower) October rate.</w:t>
      </w:r>
    </w:p>
    <w:p>
      <w:pPr>
        <w:pStyle w:val="Heading1"/>
        <w:spacing w:after="120" w:before="280"/>
      </w:pPr>
      <w:r>
        <w:rPr>
          <w:b/>
          <w:bCs/>
          <w:color w:val="1E2761"/>
          <w:sz w:val="26"/>
          <w:szCs w:val="26"/>
        </w:rPr>
        <w:t xml:space="preserve">2. Close Policies Relevant to This Review</w:t>
      </w:r>
    </w:p>
    <w:p>
      <w:pPr>
        <w:pStyle w:val="Heading2"/>
        <w:spacing w:after="100" w:before="200"/>
      </w:pPr>
      <w:r>
        <w:rPr>
          <w:b/>
          <w:bCs/>
          <w:sz w:val="22"/>
          <w:szCs w:val="22"/>
        </w:rPr>
        <w:t xml:space="preserve">2.1 Duplicate and Re-Issued Invoices</w:t>
      </w:r>
    </w:p>
    <w:p>
      <w:pPr>
        <w:spacing w:after="160"/>
        <w:jc w:val="left"/>
      </w:pPr>
      <w:r>
        <w:rPr>
          <w:b w:val="false"/>
          <w:bCs w:val="false"/>
          <w:i w:val="false"/>
          <w:iCs w:val="false"/>
          <w:sz w:val="22"/>
          <w:szCs w:val="22"/>
        </w:rPr>
        <w:t xml:space="preserve">Where a vendor re-issues an invoice (for example, correcting an invoice number or format), Accounts Payable must confirm the original invoice has been reversed or credited before the re-issued invoice is posted. A re-issued invoice posted without reversing the original results in the cost being recorded twice.</w:t>
      </w:r>
    </w:p>
    <w:p>
      <w:pPr>
        <w:pStyle w:val="Heading2"/>
        <w:spacing w:after="100" w:before="200"/>
      </w:pPr>
      <w:r>
        <w:rPr>
          <w:b/>
          <w:bCs/>
          <w:sz w:val="22"/>
          <w:szCs w:val="22"/>
        </w:rPr>
        <w:t xml:space="preserve">2.2 Period Cut-Off - Prepayments</w:t>
      </w:r>
    </w:p>
    <w:p>
      <w:pPr>
        <w:spacing w:after="160"/>
        <w:jc w:val="left"/>
      </w:pPr>
      <w:r>
        <w:rPr>
          <w:b w:val="false"/>
          <w:bCs w:val="false"/>
          <w:i w:val="false"/>
          <w:iCs w:val="false"/>
          <w:sz w:val="22"/>
          <w:szCs w:val="22"/>
        </w:rPr>
        <w:t xml:space="preserve">Any invoice covering a service period longer than one month must be spread across the periods it relates to, with the unexpired portion held in prepayments. This applies in particular to annual software and subscription licences, insurance premiums, and any other multi-month contract invoiced in full at inception.</w:t>
      </w:r>
    </w:p>
    <w:p>
      <w:pPr>
        <w:pStyle w:val="Heading2"/>
        <w:spacing w:after="100" w:before="200"/>
      </w:pPr>
      <w:r>
        <w:rPr>
          <w:b/>
          <w:bCs/>
          <w:sz w:val="22"/>
          <w:szCs w:val="22"/>
        </w:rPr>
        <w:t xml:space="preserve">2.3 Three-Way Match</w:t>
      </w:r>
    </w:p>
    <w:p>
      <w:pPr>
        <w:spacing w:after="160"/>
        <w:jc w:val="left"/>
      </w:pPr>
      <w:r>
        <w:rPr>
          <w:b w:val="false"/>
          <w:bCs w:val="false"/>
          <w:i w:val="false"/>
          <w:iCs w:val="false"/>
          <w:sz w:val="22"/>
          <w:szCs w:val="22"/>
        </w:rPr>
        <w:t xml:space="preserve">All operating expense invoices over USD 500 require a three-way match (purchase order, goods/service receipt, invoice) before posting. Marketing and professional services invoices are exempt from the PO requirement but still require budget-holder approval evidenced in the invoice workflow.</w:t>
      </w:r>
    </w:p>
    <w:p>
      <w:pPr>
        <w:pStyle w:val="Heading1"/>
        <w:spacing w:after="120" w:before="280"/>
      </w:pPr>
      <w:r>
        <w:rPr>
          <w:b/>
          <w:bCs/>
          <w:color w:val="1E2761"/>
          <w:sz w:val="26"/>
          <w:szCs w:val="26"/>
        </w:rPr>
        <w:t xml:space="preserve">3. Items Already Explained (Circulated Before This Review)</w:t>
      </w:r>
    </w:p>
    <w:p>
      <w:pPr>
        <w:spacing w:after="160"/>
        <w:jc w:val="left"/>
      </w:pPr>
      <w:r>
        <w:rPr>
          <w:b w:val="false"/>
          <w:bCs w:val="false"/>
          <w:i w:val="false"/>
          <w:iCs w:val="false"/>
          <w:sz w:val="22"/>
          <w:szCs w:val="22"/>
        </w:rPr>
        <w:t xml:space="preserve">The following two items have already been reviewed and explained by the accountant preparing the November close, and should not be treated as open questions in this review:</w:t>
      </w:r>
    </w:p>
    <w:p>
      <w:pPr>
        <w:pStyle w:val="ListParagraph"/>
        <w:numPr>
          <w:ilvl w:val="0"/>
          <w:numId w:val="2"/>
        </w:numPr>
        <w:spacing w:after="100"/>
      </w:pPr>
      <w:r>
        <w:rPr>
          <w:b w:val="false"/>
          <w:bCs w:val="false"/>
          <w:i w:val="false"/>
          <w:iCs w:val="false"/>
          <w:sz w:val="22"/>
          <w:szCs w:val="22"/>
        </w:rPr>
        <w:t xml:space="preserve">A travel cost of USD 5,000 was reclassified from the Achrafieh project cost centre (PRJ-014) into operating Travel &amp; Entertainment - approved by the Finance Manager on 24 November. This is a legitimate reclassification, not an error.</w:t>
      </w:r>
    </w:p>
    <w:p>
      <w:pPr>
        <w:pStyle w:val="ListParagraph"/>
        <w:numPr>
          <w:ilvl w:val="0"/>
          <w:numId w:val="2"/>
        </w:numPr>
        <w:spacing w:after="100"/>
      </w:pPr>
      <w:r>
        <w:rPr>
          <w:b w:val="false"/>
          <w:bCs w:val="false"/>
          <w:i w:val="false"/>
          <w:iCs w:val="false"/>
          <w:sz w:val="22"/>
          <w:szCs w:val="22"/>
        </w:rPr>
        <w:t xml:space="preserve">An external audit invoice of USD 8,500 from Deloitte Lebanon was received and booked in November against work scheduled for December fieldwork - a timing difference, not an error, and approved by the CFO.</w:t>
      </w:r>
    </w:p>
    <w:p>
      <w:pPr>
        <w:spacing w:after="160"/>
        <w:jc w:val="left"/>
      </w:pPr>
      <w:r>
        <w:rPr>
          <w:b/>
          <w:bCs/>
          <w:i w:val="false"/>
          <w:iCs w:val="false"/>
          <w:sz w:val="22"/>
          <w:szCs w:val="22"/>
        </w:rPr>
        <w:t xml:space="preserve">Together these two items account for USD 13,500 of the USD 42,111 total variance between the November budget and actual. The remaining USD 28,611 has not yet been explained.</w:t>
      </w:r>
    </w:p>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95959"/>
        <w:sz w:val="16"/>
        <w:szCs w:val="16"/>
      </w:rPr>
      <w:t xml:space="preserve">Cedrus Trading SAL - Finance Department,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360"/>
      </w:pPr>
    </w:lvl>
  </w:abstractNum>
  <w:abstractNum w:abstractNumId="3" w15:restartNumberingAfterBreak="0">
    <w:multiLevelType w:val="hybridMultilevel"/>
    <w:lvl w:ilvl="0" w15:tentative="1">
      <w:start w:val="1"/>
      <w:numFmt w:val="decimal"/>
      <w:lvlText w:val="%1."/>
      <w:lvlJc w:val="left"/>
      <w:pPr>
        <w:ind w:left="420" w:hanging="4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2026-08-14T01:58:42.050Z</dcterms:created>
  <dcterms:modified xsi:type="dcterms:W3CDTF">2026-08-14T01:58:42.050Z</dcterms:modified>
</cp:coreProperties>
</file>

<file path=docProps/custom.xml><?xml version="1.0" encoding="utf-8"?>
<Properties xmlns="http://schemas.openxmlformats.org/officeDocument/2006/custom-properties" xmlns:vt="http://schemas.openxmlformats.org/officeDocument/2006/docPropsVTypes"/>
</file>