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80"/>
      </w:pPr>
      <w:r>
        <w:rPr>
          <w:b/>
          <w:bCs/>
          <w:color w:val="1E2761"/>
          <w:sz w:val="32"/>
          <w:szCs w:val="32"/>
        </w:rPr>
        <w:t xml:space="preserve">Strategy Plan 2025</w:t>
      </w:r>
    </w:p>
    <w:p>
      <w:pPr>
        <w:spacing w:after="240"/>
      </w:pPr>
      <w:r>
        <w:rPr>
          <w:i/>
          <w:iCs/>
          <w:color w:val="595959"/>
          <w:sz w:val="20"/>
          <w:szCs w:val="20"/>
        </w:rPr>
        <w:t xml:space="preserve">Cedrus Trading SAL  |  Approved by the Board, December 2024  |  Owner: CEO and Executive Committee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1. Strategic Objectives for 2025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Grow Group revenue to USD 9.4 million (from USD 8.6 million in 2024), with Lighting the fastest-growing line.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Launch an exclusive premium lighting brand into the Lebanese market to capture margin above the Turkish-import-dominated segment.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Expand physical capacity at the Zahle branch to support Bekaa Valley project sales, targeted for completion in Q4 2025.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Upgrade the ERP platform to improve inventory visibility and close the month-end reporting cycle faster.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sz w:val="22"/>
          <w:szCs w:val="22"/>
        </w:rPr>
        <w:t xml:space="preserve">Strengthen the project-sales team with two senior hires to reduce dependence on the founder-era sales relationships.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2. Key Initiatives</w:t>
      </w:r>
    </w:p>
    <w:p>
      <w:pPr>
        <w:pStyle w:val="Heading2"/>
        <w:spacing w:after="100" w:before="200"/>
      </w:pPr>
      <w:r>
        <w:rPr>
          <w:b/>
          <w:bCs/>
          <w:sz w:val="22"/>
          <w:szCs w:val="22"/>
        </w:rPr>
        <w:t xml:space="preserve">2.1 NORDLYS Brand Launch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Secure exclusive Lebanese distribution for a Danish architectural lighting brand priced 35-55% above the Turkish fittings that dominate the market today, and launch to trade in Q1 2025.</w:t>
      </w:r>
    </w:p>
    <w:p>
      <w:pPr>
        <w:pStyle w:val="Heading2"/>
        <w:spacing w:after="100" w:before="200"/>
      </w:pPr>
      <w:r>
        <w:rPr>
          <w:b/>
          <w:bCs/>
          <w:sz w:val="22"/>
          <w:szCs w:val="22"/>
        </w:rPr>
        <w:t xml:space="preserve">2.2 Zahle Warehouse Expansion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Add racking and floor space at the Zahle branch to support larger Bekaa Valley project orders without drawing down Sin el Fil central stock. Targeted completion: Q4 2025 (see Role-01/Word-04 project files for a comparable Malaeb Engineering build).</w:t>
      </w:r>
    </w:p>
    <w:p>
      <w:pPr>
        <w:pStyle w:val="Heading2"/>
        <w:spacing w:after="100" w:before="200"/>
      </w:pPr>
      <w:r>
        <w:rPr>
          <w:b/>
          <w:bCs/>
          <w:sz w:val="22"/>
          <w:szCs w:val="22"/>
        </w:rPr>
        <w:t xml:space="preserve">2.3 ERP Upgrade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Move from the legacy accounting module to the current Sage 300 ERP release, targeted for Q3 2025, to give branch managers real-time stock and margin visibility.</w:t>
      </w:r>
    </w:p>
    <w:p>
      <w:pPr>
        <w:pStyle w:val="Heading2"/>
        <w:spacing w:after="100" w:before="200"/>
      </w:pPr>
      <w:r>
        <w:rPr>
          <w:b/>
          <w:bCs/>
          <w:sz w:val="22"/>
          <w:szCs w:val="22"/>
        </w:rPr>
        <w:t xml:space="preserve">2.4 Project Sales Hires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Recruit two senior project-sales hires by Q4 2025, focused on hospitality and healthcare-sector project work, to reduce reliance on relationships built by the founder over the past two decades.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3. Financial Targets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2700"/>
        <w:gridCol w:w="2700"/>
      </w:tblGrid>
      <w:tr>
        <w:trPr>
          <w:tblHeader/>
        </w:trPr>
        <w:tc>
          <w:tcPr>
            <w:tcW w:type="pct" w:w="40%"/>
            <w:shd w:fill="1E2761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pct" w:w="30%"/>
            <w:shd w:fill="1E2761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2024 Actual</w:t>
            </w:r>
          </w:p>
        </w:tc>
        <w:tc>
          <w:tcPr>
            <w:tcW w:type="pct" w:w="30%"/>
            <w:shd w:fill="1E2761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2025 Target</w:t>
            </w:r>
          </w:p>
        </w:tc>
      </w:tr>
      <w:tr>
        <w:tc>
          <w:tcPr>
            <w:tcW w:type="pct" w:w="4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Group Revenue (USD)</w:t>
            </w:r>
          </w:p>
        </w:tc>
        <w:tc>
          <w:tcPr>
            <w:tcW w:type="pct" w:w="3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8,600,000</w:t>
            </w:r>
          </w:p>
        </w:tc>
        <w:tc>
          <w:tcPr>
            <w:tcW w:type="pct" w:w="3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9,400,000</w:t>
            </w:r>
          </w:p>
        </w:tc>
      </w:tr>
      <w:tr>
        <w:tc>
          <w:tcPr>
            <w:tcW w:type="pct" w:w="4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Gross Margin %</w:t>
            </w:r>
          </w:p>
        </w:tc>
        <w:tc>
          <w:tcPr>
            <w:tcW w:type="pct" w:w="3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27.5%</w:t>
            </w:r>
          </w:p>
        </w:tc>
        <w:tc>
          <w:tcPr>
            <w:tcW w:type="pct" w:w="3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28.0%</w:t>
            </w:r>
          </w:p>
        </w:tc>
      </w:tr>
      <w:tr>
        <w:tc>
          <w:tcPr>
            <w:tcW w:type="pct" w:w="4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Lighting Revenue Growth</w:t>
            </w:r>
          </w:p>
        </w:tc>
        <w:tc>
          <w:tcPr>
            <w:tcW w:type="pct" w:w="3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9%</w:t>
            </w:r>
          </w:p>
        </w:tc>
        <w:tc>
          <w:tcPr>
            <w:tcW w:type="pct" w:w="30%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18%</w:t>
            </w:r>
          </w:p>
        </w:tc>
      </w:tr>
    </w:tbl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/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4. Board Oversight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Progress against these commitments will be reviewed at each quarterly board meeting, with a full-year review at the Q4 board meeting. The CFO is responsible for reporting financial performance against target; the CEO is responsible for reporting on the NORDLYS launch, the Zahle expansion, the ERP upgrade, and the project-sales hires.</w:t>
      </w:r>
    </w:p>
    <w:sectPr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95959"/>
        <w:sz w:val="16"/>
        <w:szCs w:val="16"/>
      </w:rPr>
      <w:t xml:space="preserve">Cedrus Trading SAL - Strategy Plan 2025 - Board approved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20" w:hanging="42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2026-08-14T01:56:18.508Z</dcterms:created>
  <dcterms:modified xsi:type="dcterms:W3CDTF">2026-08-14T01:56:18.509Z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