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13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Weekly Manager Report Template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Complete using the weekly business data and operations notes</w:t>
      </w:r>
    </w:p>
    <w:p>
      <w:pPr>
        <w:pStyle w:val="Heading2"/>
      </w:pPr>
      <w:r>
        <w:t>1. Executive summary</w:t>
      </w:r>
    </w:p>
    <w:p>
      <w:r>
        <w:rPr>
          <w:rFonts w:ascii="Calibri" w:hAnsi="Calibri"/>
          <w:b w:val="0"/>
          <w:i w:val="0"/>
          <w:color w:val="2C2C3E"/>
          <w:sz w:val="22"/>
        </w:rPr>
        <w:t>Write exactly five concise lines covering performance, cash, delivery, risk, and the most important decision.</w:t>
      </w:r>
    </w:p>
    <w:p>
      <w:pPr>
        <w:pStyle w:val="Heading2"/>
      </w:pPr>
      <w:r>
        <w:t>2. Weekly scorecard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rPr>
          <w:tblHeader w:val="true"/>
        </w:trPr>
        <w:tc>
          <w:tcPr>
            <w:tcW w:type="dxa" w:w="2592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Metric</w:t>
            </w:r>
          </w:p>
        </w:tc>
        <w:tc>
          <w:tcPr>
            <w:tcW w:type="dxa" w:w="1584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This week</w:t>
            </w:r>
          </w:p>
        </w:tc>
        <w:tc>
          <w:tcPr>
            <w:tcW w:type="dxa" w:w="1872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Target / comparison</w:t>
            </w:r>
          </w:p>
        </w:tc>
        <w:tc>
          <w:tcPr>
            <w:tcW w:type="dxa" w:w="3528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Comment</w:t>
            </w:r>
          </w:p>
        </w:tc>
      </w:tr>
      <w:tr>
        <w:tc>
          <w:tcPr>
            <w:tcW w:type="dxa" w:w="25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New registrations</w:t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Weekly target</w:t>
            </w:r>
          </w:p>
        </w:tc>
        <w:tc>
          <w:tcPr>
            <w:tcW w:type="dxa" w:w="352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5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Cash collected</w:t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Weekly target</w:t>
            </w:r>
          </w:p>
        </w:tc>
        <w:tc>
          <w:tcPr>
            <w:tcW w:type="dxa" w:w="352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5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Overdue receivables</w:t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Prior week</w:t>
            </w:r>
          </w:p>
        </w:tc>
        <w:tc>
          <w:tcPr>
            <w:tcW w:type="dxa" w:w="352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5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New marketing leads</w:t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Weekly target</w:t>
            </w:r>
          </w:p>
        </w:tc>
        <w:tc>
          <w:tcPr>
            <w:tcW w:type="dxa" w:w="352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5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Courses delivered as planned</w:t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  <w:t>Scheduled</w:t>
            </w:r>
          </w:p>
        </w:tc>
        <w:tc>
          <w:tcPr>
            <w:tcW w:type="dxa" w:w="352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</w:tbl>
    <w:p>
      <w:pPr>
        <w:spacing w:after="20"/>
      </w:pPr>
    </w:p>
    <w:p>
      <w:pPr>
        <w:pStyle w:val="Heading2"/>
      </w:pPr>
      <w:r>
        <w:t>3. Course delivery</w:t>
      </w:r>
    </w:p>
    <w:p>
      <w:r>
        <w:rPr>
          <w:rFonts w:ascii="Calibri" w:hAnsi="Calibri"/>
          <w:b w:val="0"/>
          <w:i w:val="0"/>
          <w:color w:val="2C2C3E"/>
          <w:sz w:val="22"/>
        </w:rPr>
        <w:t>Summarize delivery status, attendance, changes, and unresolved operational dependencies.</w:t>
      </w:r>
    </w:p>
    <w:p>
      <w:pPr>
        <w:pStyle w:val="Heading2"/>
      </w:pPr>
      <w:r>
        <w:t>4. Sales, marketing, and pipeline</w:t>
      </w:r>
    </w:p>
    <w:p>
      <w:r>
        <w:rPr>
          <w:rFonts w:ascii="Calibri" w:hAnsi="Calibri"/>
          <w:b w:val="0"/>
          <w:i w:val="0"/>
          <w:color w:val="2C2C3E"/>
          <w:sz w:val="22"/>
        </w:rPr>
        <w:t>Summarize lead volume, registrations, conversion signals, and important proposals.</w:t>
      </w:r>
    </w:p>
    <w:p>
      <w:pPr>
        <w:pStyle w:val="Heading2"/>
      </w:pPr>
      <w:r>
        <w:t>5. Cash and receivables</w:t>
      </w:r>
    </w:p>
    <w:p>
      <w:r>
        <w:rPr>
          <w:rFonts w:ascii="Calibri" w:hAnsi="Calibri"/>
          <w:b w:val="0"/>
          <w:i w:val="0"/>
          <w:color w:val="2C2C3E"/>
          <w:sz w:val="22"/>
        </w:rPr>
        <w:t>Report cash collected, overdue exposure, disputes, and collection actions.</w:t>
      </w:r>
    </w:p>
    <w:p>
      <w:pPr>
        <w:pStyle w:val="Heading2"/>
      </w:pPr>
      <w:r>
        <w:t>6. Risks and exceptions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rPr>
          <w:tblHeader w:val="true"/>
        </w:trPr>
        <w:tc>
          <w:tcPr>
            <w:tcW w:type="dxa" w:w="2304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Risk / exception</w:t>
            </w:r>
          </w:p>
        </w:tc>
        <w:tc>
          <w:tcPr>
            <w:tcW w:type="dxa" w:w="3024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Evidence</w:t>
            </w:r>
          </w:p>
        </w:tc>
        <w:tc>
          <w:tcPr>
            <w:tcW w:type="dxa" w:w="1584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Impact</w:t>
            </w:r>
          </w:p>
        </w:tc>
        <w:tc>
          <w:tcPr>
            <w:tcW w:type="dxa" w:w="2808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Owner / next step</w:t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302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280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302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280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302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280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302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58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280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</w:tbl>
    <w:p>
      <w:pPr>
        <w:spacing w:after="20"/>
      </w:pPr>
    </w:p>
    <w:p>
      <w:pPr>
        <w:pStyle w:val="Heading2"/>
      </w:pPr>
      <w:r>
        <w:t>7. Decisions required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rPr>
          <w:tblHeader w:val="true"/>
        </w:trPr>
        <w:tc>
          <w:tcPr>
            <w:tcW w:type="dxa" w:w="2448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Decision</w:t>
            </w:r>
          </w:p>
        </w:tc>
        <w:tc>
          <w:tcPr>
            <w:tcW w:type="dxa" w:w="2448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Options</w:t>
            </w:r>
          </w:p>
        </w:tc>
        <w:tc>
          <w:tcPr>
            <w:tcW w:type="dxa" w:w="345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Recommended next step</w:t>
            </w:r>
          </w:p>
        </w:tc>
        <w:tc>
          <w:tcPr>
            <w:tcW w:type="dxa" w:w="1368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Deadline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244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34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36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244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34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36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244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34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  <w:tc>
          <w:tcPr>
            <w:tcW w:type="dxa" w:w="136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7"/>
              </w:rPr>
            </w:r>
          </w:p>
        </w:tc>
      </w:tr>
    </w:tbl>
    <w:p>
      <w:pPr>
        <w:spacing w:after="20"/>
      </w:pPr>
    </w:p>
    <w:p>
      <w:pPr>
        <w:pStyle w:val="Heading2"/>
      </w:pPr>
      <w:r>
        <w:t>8. Missing or contradictory data</w:t>
      </w:r>
    </w:p>
    <w:p>
      <w:r>
        <w:rPr>
          <w:rFonts w:ascii="Calibri" w:hAnsi="Calibri"/>
          <w:b w:val="0"/>
          <w:i w:val="0"/>
          <w:color w:val="2C2C3E"/>
          <w:sz w:val="22"/>
        </w:rPr>
        <w:t>List any missing facts or contradictions that prevent a confident conclusion. Do not silently resolve them.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EX13_Manager_Report_Template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