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rFonts w:ascii="Calibri" w:hAnsi="Calibri"/>
          <w:b/>
          <w:i w:val="0"/>
          <w:color w:val="B8915A"/>
          <w:sz w:val="18"/>
        </w:rPr>
        <w:t>EXERCISE 10</w:t>
      </w:r>
    </w:p>
    <w:p>
      <w:pPr>
        <w:spacing w:after="60"/>
      </w:pPr>
      <w:r>
        <w:rPr>
          <w:rFonts w:ascii="Calibri" w:hAnsi="Calibri"/>
          <w:b/>
          <w:i w:val="0"/>
          <w:color w:val="2C2C3E"/>
          <w:sz w:val="46"/>
        </w:rPr>
        <w:t>Digital Marketing Course Brief</w:t>
      </w:r>
    </w:p>
    <w:p>
      <w:pPr>
        <w:spacing w:after="240"/>
      </w:pPr>
      <w:r>
        <w:rPr>
          <w:rFonts w:ascii="Calibri" w:hAnsi="Calibri"/>
          <w:b w:val="0"/>
          <w:i/>
          <w:color w:val="6B7280"/>
          <w:sz w:val="21"/>
        </w:rPr>
        <w:t>Approved campaign facts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rPr>
          <w:tblHeader w:val="true"/>
        </w:trPr>
        <w:tc>
          <w:tcPr>
            <w:tcW w:type="dxa" w:w="1872"/>
            <w:shd w:fill="5B647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Item</w:t>
            </w:r>
          </w:p>
        </w:tc>
        <w:tc>
          <w:tcPr>
            <w:tcW w:type="dxa" w:w="7704"/>
            <w:shd w:fill="5B647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Approved fact</w:t>
            </w:r>
          </w:p>
        </w:tc>
      </w:tr>
      <w:tr>
        <w:tc>
          <w:tcPr>
            <w:tcW w:type="dxa" w:w="187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Course</w:t>
            </w:r>
          </w:p>
        </w:tc>
        <w:tc>
          <w:tcPr>
            <w:tcW w:type="dxa" w:w="7704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Digital Marketing Essentials</w:t>
            </w:r>
          </w:p>
        </w:tc>
      </w:tr>
      <w:tr>
        <w:tc>
          <w:tcPr>
            <w:tcW w:type="dxa" w:w="187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Start date</w:t>
            </w:r>
          </w:p>
        </w:tc>
        <w:tc>
          <w:tcPr>
            <w:tcW w:type="dxa" w:w="7704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Monday, 7 September 2026</w:t>
            </w:r>
          </w:p>
        </w:tc>
      </w:tr>
      <w:tr>
        <w:tc>
          <w:tcPr>
            <w:tcW w:type="dxa" w:w="187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Schedule</w:t>
            </w:r>
          </w:p>
        </w:tc>
        <w:tc>
          <w:tcPr>
            <w:tcW w:type="dxa" w:w="7704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Monday and Wednesday, 18:30-20:30</w:t>
            </w:r>
          </w:p>
        </w:tc>
      </w:tr>
      <w:tr>
        <w:tc>
          <w:tcPr>
            <w:tcW w:type="dxa" w:w="187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Duration</w:t>
            </w:r>
          </w:p>
        </w:tc>
        <w:tc>
          <w:tcPr>
            <w:tcW w:type="dxa" w:w="7704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24 hours over 6 weeks</w:t>
            </w:r>
          </w:p>
        </w:tc>
      </w:tr>
      <w:tr>
        <w:tc>
          <w:tcPr>
            <w:tcW w:type="dxa" w:w="187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Mode</w:t>
            </w:r>
          </w:p>
        </w:tc>
        <w:tc>
          <w:tcPr>
            <w:tcW w:type="dxa" w:w="7704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Hybrid: attend at ETC or join live online</w:t>
            </w:r>
          </w:p>
        </w:tc>
      </w:tr>
      <w:tr>
        <w:tc>
          <w:tcPr>
            <w:tcW w:type="dxa" w:w="187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Fee</w:t>
            </w:r>
          </w:p>
        </w:tc>
        <w:tc>
          <w:tcPr>
            <w:tcW w:type="dxa" w:w="7704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USD 340</w:t>
            </w:r>
          </w:p>
        </w:tc>
      </w:tr>
      <w:tr>
        <w:tc>
          <w:tcPr>
            <w:tcW w:type="dxa" w:w="187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Audience</w:t>
            </w:r>
          </w:p>
        </w:tc>
        <w:tc>
          <w:tcPr>
            <w:tcW w:type="dxa" w:w="7704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Business owners, marketing employees, freelancers, and career changers</w:t>
            </w:r>
          </w:p>
        </w:tc>
      </w:tr>
      <w:tr>
        <w:tc>
          <w:tcPr>
            <w:tcW w:type="dxa" w:w="187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Prerequisite</w:t>
            </w:r>
          </w:p>
        </w:tc>
        <w:tc>
          <w:tcPr>
            <w:tcW w:type="dxa" w:w="7704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No prior digital-marketing experience required</w:t>
            </w:r>
          </w:p>
        </w:tc>
      </w:tr>
      <w:tr>
        <w:tc>
          <w:tcPr>
            <w:tcW w:type="dxa" w:w="187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Certificate</w:t>
            </w:r>
          </w:p>
        </w:tc>
        <w:tc>
          <w:tcPr>
            <w:tcW w:type="dxa" w:w="7704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ETC certificate of completion, subject to attendance and assessment requirements</w:t>
            </w:r>
          </w:p>
        </w:tc>
      </w:tr>
      <w:tr>
        <w:tc>
          <w:tcPr>
            <w:tcW w:type="dxa" w:w="187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Seats</w:t>
            </w:r>
          </w:p>
        </w:tc>
        <w:tc>
          <w:tcPr>
            <w:tcW w:type="dxa" w:w="7704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Maximum 16 participants</w:t>
            </w:r>
          </w:p>
        </w:tc>
      </w:tr>
      <w:tr>
        <w:tc>
          <w:tcPr>
            <w:tcW w:type="dxa" w:w="187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Registration</w:t>
            </w:r>
          </w:p>
        </w:tc>
        <w:tc>
          <w:tcPr>
            <w:tcW w:type="dxa" w:w="7704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Contact ETC through the published website or WhatsApp channel</w:t>
            </w:r>
          </w:p>
        </w:tc>
      </w:tr>
    </w:tbl>
    <w:p>
      <w:pPr>
        <w:spacing w:after="20"/>
      </w:pPr>
    </w:p>
    <w:p>
      <w:pPr>
        <w:pStyle w:val="Heading2"/>
      </w:pPr>
      <w:r>
        <w:t>Learning outcomes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Build a practical digital-marketing plan around a defined audience and objective.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Plan content for social media, email, and web channels.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Understand paid-campaign structure, targeting, budgets, and basic optimization.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Read core campaign metrics and prepare a simple performance report.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Complete a mini campaign project using a fictional business case.</w:t>
      </w:r>
    </w:p>
    <w:p>
      <w:pPr>
        <w:pStyle w:val="Heading2"/>
      </w:pPr>
      <w:r>
        <w:t>Restrictions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Do not claim guaranteed employment, guaranteed sales, or guaranteed follower growth.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Do not describe the ETC certificate as a university degree or government license.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Do not advertise a discount or deadline that is not in this brief.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80" w:right="1152" w:bottom="1080" w:left="1152" w:header="504" w:footer="50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Calibri" w:hAnsi="Calibri"/>
        <w:b w:val="0"/>
        <w:i w:val="0"/>
        <w:color w:val="6B7280"/>
        <w:sz w:val="18"/>
      </w:rPr>
      <w:t xml:space="preserve">Page </w:t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Calibri" w:hAnsi="Calibri"/>
        <w:b/>
        <w:i w:val="0"/>
        <w:color w:val="5B6478"/>
        <w:sz w:val="17"/>
      </w:rPr>
      <w:t>ETC | AI for Business - Lesson 04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Calibri" w:hAnsi="Calibri"/>
      <w:color w:val="2C2C3E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Calibri" w:hAnsi="Calibri"/>
      <w:b/>
      <w:bCs/>
      <w:color w:val="2C2C3E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Calibri" w:hAnsi="Calibri"/>
      <w:b/>
      <w:bCs/>
      <w:color w:val="B8915A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/>
      <w:b/>
      <w:bCs/>
      <w:color w:val="5B6478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EX10_Digital_Marketing_Course_Brief</dc:title>
  <dc:subject>AI for Business Lesson 04 exercise file</dc:subject>
  <dc:creator>Expertise Training Center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