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07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August Management Notes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Operating context for the budget variance exercise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AutoCAD registrations were 18 versus a plan of 22. Four corporate-sponsored students postponed to September.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Python registrations exceeded plan after a corporate group of five joined at the standard published fee.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Revit course started one week late because the instructor was unavailable; two planned sessions moved to September.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Instructor cost was lower because the delayed Revit sessions were not paid in August.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Advertising spend increased after management approved an extra social-media campaign of up to USD 900. No approval was recorded for spending beyond that amount.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Equipment expense includes an emergency projector repair of USD 620. The budget assumed routine maintenance only.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Rent was increased under the renewed lease beginning 1 August. Accounting has not yet confirmed whether the August invoice includes a prior-period adjustment.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Software subscriptions include 12 additional licenses for the new Python lab. The vendor billed the full annual amount in August; budget was spread monthly.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Bank charges increased because two corporate clients paid by international transfer.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No explanation has been received for the variance in office supplies.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EX07_Management_Notes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