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1900" w:after="360" w:line="300" w:lineRule="auto"/>
        <w:jc w:val="center"/>
      </w:pPr>
      <w:r>
        <w:rPr>
          <w:rFonts w:ascii="Calibri" w:hAnsi="Calibri"/>
          <w:b/>
          <w:i w:val="0"/>
          <w:color w:val="B58220"/>
          <w:sz w:val="20"/>
        </w:rPr>
        <w:t>PROCUREMENT TRAINING RESOURCE</w:t>
      </w:r>
    </w:p>
    <w:p>
      <w:pPr>
        <w:spacing w:before="0" w:after="200" w:line="300" w:lineRule="auto"/>
        <w:jc w:val="center"/>
      </w:pPr>
      <w:r>
        <w:rPr>
          <w:rFonts w:ascii="Calibri" w:hAnsi="Calibri"/>
          <w:b/>
          <w:i w:val="0"/>
          <w:color w:val="18324A"/>
          <w:sz w:val="56"/>
        </w:rPr>
        <w:t>Fictional Bid Team, CVs</w:t>
        <w:br/>
        <w:t>and Compliance Gap Review</w:t>
      </w:r>
    </w:p>
    <w:p>
      <w:pPr>
        <w:spacing w:before="0" w:after="520" w:line="300" w:lineRule="auto"/>
        <w:jc w:val="center"/>
      </w:pPr>
      <w:r>
        <w:rPr>
          <w:rFonts w:ascii="Calibri" w:hAnsi="Calibri"/>
          <w:b w:val="0"/>
          <w:i w:val="0"/>
          <w:color w:val="167D8D"/>
          <w:sz w:val="28"/>
        </w:rPr>
        <w:t>Design, Supervision and Quality Assurance Services for the LIB-PSS Headquarters</w:t>
      </w:r>
    </w:p>
    <w:p>
      <w:pPr>
        <w:spacing w:before="0" w:after="120" w:line="300" w:lineRule="auto"/>
        <w:jc w:val="center"/>
      </w:pPr>
      <w:r>
        <w:rPr>
          <w:rFonts w:ascii="Calibri" w:hAnsi="Calibri"/>
          <w:b/>
          <w:i w:val="0"/>
          <w:color w:val="5B6570"/>
          <w:sz w:val="21"/>
        </w:rPr>
        <w:t>Reference reviewed: CBL RFP for LIB-PSS Headquarters (2026)</w:t>
      </w:r>
    </w:p>
    <w:p>
      <w:pPr>
        <w:spacing w:before="0" w:after="1080" w:line="300" w:lineRule="auto"/>
        <w:jc w:val="center"/>
      </w:pPr>
      <w:r>
        <w:rPr>
          <w:rFonts w:ascii="Calibri" w:hAnsi="Calibri"/>
          <w:b w:val="0"/>
          <w:i w:val="0"/>
          <w:color w:val="5B6570"/>
          <w:sz w:val="21"/>
        </w:rPr>
        <w:t>Illustrative bidder: Cedars Integrated Consulting S.A.L. (Lebanon)</w:t>
      </w:r>
    </w:p>
    <w:tbl>
      <w:tblPr>
        <w:tblW w:type="dxa" w:w="9360"/>
        <w:jc w:val="left"/>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vAlign w:val="center"/>
            <w:shd w:fill="FFF0F0"/>
          </w:tcPr>
          <w:p>
            <w:pPr>
              <w:spacing w:after="40"/>
            </w:pPr>
            <w:r>
              <w:rPr>
                <w:rFonts w:ascii="Calibri" w:hAnsi="Calibri"/>
                <w:b/>
                <w:i w:val="0"/>
                <w:color w:val="9B1C1C"/>
                <w:sz w:val="22"/>
              </w:rPr>
              <w:t xml:space="preserve">IMPORTANT: </w:t>
            </w:r>
            <w:r>
              <w:rPr>
                <w:rFonts w:ascii="Calibri" w:hAnsi="Calibri"/>
                <w:b w:val="0"/>
                <w:i w:val="0"/>
                <w:color w:val="111111"/>
                <w:sz w:val="22"/>
              </w:rPr>
              <w:t>Every company, person, credential, project and reference in this annex is invented for classroom use. It must never be submitted as fact. A real bidder must replace all fictional content and independently verify documentary evidence.</w:t>
            </w:r>
          </w:p>
        </w:tc>
      </w:tr>
    </w:tbl>
    <w:p>
      <w:pPr>
        <w:spacing w:before="0" w:after="40" w:line="300" w:lineRule="auto"/>
      </w:pPr>
    </w:p>
    <w:p>
      <w:pPr>
        <w:spacing w:before="720" w:after="120" w:line="300" w:lineRule="auto"/>
        <w:jc w:val="center"/>
      </w:pPr>
      <w:r>
        <w:rPr>
          <w:rFonts w:ascii="Calibri" w:hAnsi="Calibri"/>
          <w:b w:val="0"/>
          <w:i w:val="0"/>
          <w:color w:val="5B6570"/>
          <w:sz w:val="18"/>
        </w:rPr>
        <w:t>Prepared as a teaching supplement | 21 August 2026</w:t>
      </w:r>
    </w:p>
    <w:p>
      <w:r>
        <w:br w:type="page"/>
      </w:r>
    </w:p>
    <w:p>
      <w:pPr>
        <w:pStyle w:val="Heading1"/>
        <w:keepNext/>
      </w:pPr>
      <w:r>
        <w:t>1. Executive finding</w:t>
      </w:r>
    </w:p>
    <w:tbl>
      <w:tblPr>
        <w:tblW w:type="dxa" w:w="9360"/>
        <w:jc w:val="left"/>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vAlign w:val="center"/>
            <w:shd w:fill="E8EEF5"/>
          </w:tcPr>
          <w:p>
            <w:pPr>
              <w:spacing w:after="40"/>
            </w:pPr>
            <w:r>
              <w:rPr>
                <w:rFonts w:ascii="Calibri" w:hAnsi="Calibri"/>
                <w:b/>
                <w:i w:val="0"/>
                <w:color w:val="2E74B5"/>
                <w:sz w:val="22"/>
              </w:rPr>
              <w:t xml:space="preserve">Bottom line: </w:t>
            </w:r>
            <w:r>
              <w:rPr>
                <w:rFonts w:ascii="Calibri" w:hAnsi="Calibri"/>
                <w:b w:val="0"/>
                <w:i w:val="0"/>
                <w:color w:val="111111"/>
                <w:sz w:val="22"/>
              </w:rPr>
              <w:t>Yes, employee profiles and signed CVs are missing. They are especially important because key experts carry 60 of the 100 technical points, and a bidder needs at least 75% in the technical evaluation to reach financial evaluation.</w:t>
            </w:r>
          </w:p>
        </w:tc>
      </w:tr>
    </w:tbl>
    <w:p>
      <w:pPr>
        <w:spacing w:before="0" w:after="40" w:line="300" w:lineRule="auto"/>
      </w:pPr>
    </w:p>
    <w:p>
      <w:pPr>
        <w:spacing w:before="0" w:after="120" w:line="300" w:lineRule="auto"/>
      </w:pPr>
      <w:r>
        <w:rPr>
          <w:rFonts w:ascii="Calibri" w:hAnsi="Calibri"/>
          <w:b w:val="0"/>
          <w:i w:val="0"/>
          <w:color w:val="111111"/>
          <w:sz w:val="22"/>
        </w:rPr>
        <w:t>A Lebanese firm can bid, but a seven-person Lebanese-only key team would not satisfy the national participation clause. The RFP requires at least three of the seven key expert positions to be filled by qualified Liberian nationals. The illustrative team below therefore includes four Lebanese and three Liberian key experts. This meets the key-position nationality rule, although it does not earn the separate preference for Liberian firms or joint ventures with at least 50% Liberian ownership.</w:t>
      </w:r>
    </w:p>
    <w:p>
      <w:pPr>
        <w:pStyle w:val="Heading1"/>
        <w:keepNext/>
      </w:pPr>
      <w:r>
        <w:t>2. RFP staffing requirements mapped to the fictional team</w:t>
      </w:r>
    </w:p>
    <w:tbl>
      <w:tblPr>
        <w:tblStyle w:val="TableGrid"/>
        <w:tblW w:type="dxa" w:w="9360"/>
        <w:jc w:val="left"/>
        <w:tblLayout w:type="fixed"/>
        <w:tblLook w:firstColumn="1" w:firstRow="1" w:lastColumn="0" w:lastRow="0" w:noHBand="0" w:noVBand="1" w:val="04A0"/>
        <w:tblInd w:w="120" w:type="dxa"/>
      </w:tblPr>
      <w:tblGrid>
        <w:gridCol w:w="550"/>
        <w:gridCol w:w="1850"/>
        <w:gridCol w:w="1550"/>
        <w:gridCol w:w="950"/>
        <w:gridCol w:w="500"/>
        <w:gridCol w:w="3160"/>
        <w:gridCol w:w="800"/>
      </w:tblGrid>
      <w:tr>
        <w:trPr>
          <w:tblHeader w:val="true"/>
          <w:cantSplit/>
        </w:trPr>
        <w:tc>
          <w:tcPr>
            <w:tcW w:type="dxa" w:w="550"/>
            <w:shd w:fill="18324A"/>
            <w:tcMar>
              <w:top w:w="80" w:type="dxa"/>
              <w:start w:w="120" w:type="dxa"/>
              <w:bottom w:w="80" w:type="dxa"/>
              <w:end w:w="120" w:type="dxa"/>
            </w:tcMar>
            <w:vAlign w:val="center"/>
          </w:tcPr>
          <w:p>
            <w:pPr>
              <w:spacing w:after="0"/>
              <w:jc w:val="center"/>
            </w:pPr>
            <w:r>
              <w:rPr>
                <w:rFonts w:ascii="Calibri" w:hAnsi="Calibri"/>
                <w:b/>
                <w:i w:val="0"/>
                <w:color w:val="FFFFFF"/>
                <w:sz w:val="15"/>
              </w:rPr>
              <w:t>Ref</w:t>
            </w:r>
          </w:p>
        </w:tc>
        <w:tc>
          <w:tcPr>
            <w:tcW w:type="dxa" w:w="1850"/>
            <w:shd w:fill="18324A"/>
            <w:tcMar>
              <w:top w:w="80" w:type="dxa"/>
              <w:start w:w="120" w:type="dxa"/>
              <w:bottom w:w="80" w:type="dxa"/>
              <w:end w:w="120" w:type="dxa"/>
            </w:tcMar>
            <w:vAlign w:val="center"/>
          </w:tcPr>
          <w:p>
            <w:pPr>
              <w:spacing w:after="0"/>
              <w:jc w:val="center"/>
            </w:pPr>
            <w:r>
              <w:rPr>
                <w:rFonts w:ascii="Calibri" w:hAnsi="Calibri"/>
                <w:b/>
                <w:i w:val="0"/>
                <w:color w:val="FFFFFF"/>
                <w:sz w:val="15"/>
              </w:rPr>
              <w:t>Required role</w:t>
            </w:r>
          </w:p>
        </w:tc>
        <w:tc>
          <w:tcPr>
            <w:tcW w:type="dxa" w:w="1550"/>
            <w:shd w:fill="18324A"/>
            <w:tcMar>
              <w:top w:w="80" w:type="dxa"/>
              <w:start w:w="120" w:type="dxa"/>
              <w:bottom w:w="80" w:type="dxa"/>
              <w:end w:w="120" w:type="dxa"/>
            </w:tcMar>
            <w:vAlign w:val="center"/>
          </w:tcPr>
          <w:p>
            <w:pPr>
              <w:spacing w:after="0"/>
              <w:jc w:val="center"/>
            </w:pPr>
            <w:r>
              <w:rPr>
                <w:rFonts w:ascii="Calibri" w:hAnsi="Calibri"/>
                <w:b/>
                <w:i w:val="0"/>
                <w:color w:val="FFFFFF"/>
                <w:sz w:val="15"/>
              </w:rPr>
              <w:t>Proposed expert</w:t>
            </w:r>
          </w:p>
        </w:tc>
        <w:tc>
          <w:tcPr>
            <w:tcW w:type="dxa" w:w="950"/>
            <w:shd w:fill="18324A"/>
            <w:tcMar>
              <w:top w:w="80" w:type="dxa"/>
              <w:start w:w="120" w:type="dxa"/>
              <w:bottom w:w="80" w:type="dxa"/>
              <w:end w:w="120" w:type="dxa"/>
            </w:tcMar>
            <w:vAlign w:val="center"/>
          </w:tcPr>
          <w:p>
            <w:pPr>
              <w:spacing w:after="0"/>
              <w:jc w:val="center"/>
            </w:pPr>
            <w:r>
              <w:rPr>
                <w:rFonts w:ascii="Calibri" w:hAnsi="Calibri"/>
                <w:b/>
                <w:i w:val="0"/>
                <w:color w:val="FFFFFF"/>
                <w:sz w:val="15"/>
              </w:rPr>
              <w:t>Nationality</w:t>
            </w:r>
          </w:p>
        </w:tc>
        <w:tc>
          <w:tcPr>
            <w:tcW w:type="dxa" w:w="500"/>
            <w:shd w:fill="18324A"/>
            <w:tcMar>
              <w:top w:w="80" w:type="dxa"/>
              <w:start w:w="120" w:type="dxa"/>
              <w:bottom w:w="80" w:type="dxa"/>
              <w:end w:w="120" w:type="dxa"/>
            </w:tcMar>
            <w:vAlign w:val="center"/>
          </w:tcPr>
          <w:p>
            <w:pPr>
              <w:spacing w:after="0"/>
              <w:jc w:val="center"/>
            </w:pPr>
            <w:r>
              <w:rPr>
                <w:rFonts w:ascii="Calibri" w:hAnsi="Calibri"/>
                <w:b/>
                <w:i w:val="0"/>
                <w:color w:val="FFFFFF"/>
                <w:sz w:val="15"/>
              </w:rPr>
              <w:t>Yrs</w:t>
            </w:r>
          </w:p>
        </w:tc>
        <w:tc>
          <w:tcPr>
            <w:tcW w:type="dxa" w:w="3160"/>
            <w:shd w:fill="18324A"/>
            <w:tcMar>
              <w:top w:w="80" w:type="dxa"/>
              <w:start w:w="120" w:type="dxa"/>
              <w:bottom w:w="80" w:type="dxa"/>
              <w:end w:w="120" w:type="dxa"/>
            </w:tcMar>
            <w:vAlign w:val="center"/>
          </w:tcPr>
          <w:p>
            <w:pPr>
              <w:spacing w:after="0"/>
              <w:jc w:val="center"/>
            </w:pPr>
            <w:r>
              <w:rPr>
                <w:rFonts w:ascii="Calibri" w:hAnsi="Calibri"/>
                <w:b/>
                <w:i w:val="0"/>
                <w:color w:val="FFFFFF"/>
                <w:sz w:val="15"/>
              </w:rPr>
              <w:t>Qualification fit</w:t>
            </w:r>
          </w:p>
        </w:tc>
        <w:tc>
          <w:tcPr>
            <w:tcW w:type="dxa" w:w="800"/>
            <w:shd w:fill="18324A"/>
            <w:tcMar>
              <w:top w:w="80" w:type="dxa"/>
              <w:start w:w="120" w:type="dxa"/>
              <w:bottom w:w="80" w:type="dxa"/>
              <w:end w:w="120" w:type="dxa"/>
            </w:tcMar>
            <w:vAlign w:val="center"/>
          </w:tcPr>
          <w:p>
            <w:pPr>
              <w:spacing w:after="0"/>
              <w:jc w:val="center"/>
            </w:pPr>
            <w:r>
              <w:rPr>
                <w:rFonts w:ascii="Calibri" w:hAnsi="Calibri"/>
                <w:b/>
                <w:i w:val="0"/>
                <w:color w:val="FFFFFF"/>
                <w:sz w:val="15"/>
              </w:rPr>
              <w:t>Pts</w:t>
            </w:r>
          </w:p>
        </w:tc>
      </w:tr>
      <w:tr>
        <w:trPr>
          <w:cantSplit/>
        </w:trPr>
        <w:tc>
          <w:tcPr>
            <w:tcW w:type="dxa" w:w="550"/>
            <w:tcMar>
              <w:top w:w="80" w:type="dxa"/>
              <w:start w:w="120" w:type="dxa"/>
              <w:bottom w:w="80" w:type="dxa"/>
              <w:end w:w="120" w:type="dxa"/>
            </w:tcMar>
            <w:vAlign w:val="center"/>
          </w:tcPr>
          <w:p>
            <w:pPr>
              <w:spacing w:after="0" w:line="252" w:lineRule="auto"/>
            </w:pPr>
            <w:r>
              <w:rPr>
                <w:rFonts w:ascii="Calibri" w:hAnsi="Calibri"/>
                <w:b w:val="0"/>
                <w:i w:val="0"/>
                <w:color w:val="111111"/>
                <w:sz w:val="15"/>
              </w:rPr>
              <w:t>K-1</w:t>
            </w:r>
          </w:p>
        </w:tc>
        <w:tc>
          <w:tcPr>
            <w:tcW w:type="dxa" w:w="1850"/>
            <w:tcMar>
              <w:top w:w="80" w:type="dxa"/>
              <w:start w:w="120" w:type="dxa"/>
              <w:bottom w:w="80" w:type="dxa"/>
              <w:end w:w="120" w:type="dxa"/>
            </w:tcMar>
            <w:vAlign w:val="center"/>
          </w:tcPr>
          <w:p>
            <w:pPr>
              <w:spacing w:after="0" w:line="252" w:lineRule="auto"/>
            </w:pPr>
            <w:r>
              <w:rPr>
                <w:rFonts w:ascii="Calibri" w:hAnsi="Calibri"/>
                <w:b w:val="0"/>
                <w:i w:val="0"/>
                <w:color w:val="111111"/>
                <w:sz w:val="15"/>
              </w:rPr>
              <w:t>Team Leader / Project Director</w:t>
            </w:r>
          </w:p>
        </w:tc>
        <w:tc>
          <w:tcPr>
            <w:tcW w:type="dxa" w:w="1550"/>
            <w:tcMar>
              <w:top w:w="80" w:type="dxa"/>
              <w:start w:w="120" w:type="dxa"/>
              <w:bottom w:w="80" w:type="dxa"/>
              <w:end w:w="120" w:type="dxa"/>
            </w:tcMar>
            <w:vAlign w:val="center"/>
          </w:tcPr>
          <w:p>
            <w:pPr>
              <w:spacing w:after="0" w:line="252" w:lineRule="auto"/>
            </w:pPr>
            <w:r>
              <w:rPr>
                <w:rFonts w:ascii="Calibri" w:hAnsi="Calibri"/>
                <w:b w:val="0"/>
                <w:i w:val="0"/>
                <w:color w:val="111111"/>
                <w:sz w:val="15"/>
              </w:rPr>
              <w:t>Dr. Rami Khoury</w:t>
            </w:r>
          </w:p>
        </w:tc>
        <w:tc>
          <w:tcPr>
            <w:tcW w:type="dxa" w:w="950"/>
            <w:tcMar>
              <w:top w:w="80" w:type="dxa"/>
              <w:start w:w="120" w:type="dxa"/>
              <w:bottom w:w="80" w:type="dxa"/>
              <w:end w:w="120" w:type="dxa"/>
            </w:tcMar>
            <w:vAlign w:val="center"/>
          </w:tcPr>
          <w:p>
            <w:pPr>
              <w:spacing w:after="0" w:line="252" w:lineRule="auto"/>
            </w:pPr>
            <w:r>
              <w:rPr>
                <w:rFonts w:ascii="Calibri" w:hAnsi="Calibri"/>
                <w:b w:val="0"/>
                <w:i w:val="0"/>
                <w:color w:val="111111"/>
                <w:sz w:val="15"/>
              </w:rPr>
              <w:t>Lebanese</w:t>
            </w:r>
          </w:p>
        </w:tc>
        <w:tc>
          <w:tcPr>
            <w:tcW w:type="dxa" w:w="500"/>
            <w:tcMar>
              <w:top w:w="80" w:type="dxa"/>
              <w:start w:w="120" w:type="dxa"/>
              <w:bottom w:w="80" w:type="dxa"/>
              <w:end w:w="120" w:type="dxa"/>
            </w:tcMar>
            <w:vAlign w:val="center"/>
          </w:tcPr>
          <w:p>
            <w:pPr>
              <w:spacing w:after="0" w:line="252" w:lineRule="auto"/>
            </w:pPr>
            <w:r>
              <w:rPr>
                <w:rFonts w:ascii="Calibri" w:hAnsi="Calibri"/>
                <w:b w:val="0"/>
                <w:i w:val="0"/>
                <w:color w:val="111111"/>
                <w:sz w:val="15"/>
              </w:rPr>
              <w:t>22</w:t>
            </w:r>
          </w:p>
        </w:tc>
        <w:tc>
          <w:tcPr>
            <w:tcW w:type="dxa" w:w="3160"/>
            <w:tcMar>
              <w:top w:w="80" w:type="dxa"/>
              <w:start w:w="120" w:type="dxa"/>
              <w:bottom w:w="80" w:type="dxa"/>
              <w:end w:w="120" w:type="dxa"/>
            </w:tcMar>
            <w:vAlign w:val="center"/>
          </w:tcPr>
          <w:p>
            <w:pPr>
              <w:spacing w:after="0" w:line="252" w:lineRule="auto"/>
            </w:pPr>
            <w:r>
              <w:rPr>
                <w:rFonts w:ascii="Calibri" w:hAnsi="Calibri"/>
                <w:b w:val="0"/>
                <w:i w:val="0"/>
                <w:color w:val="111111"/>
                <w:sz w:val="15"/>
              </w:rPr>
              <w:t>MSc Civil Engineering; PMP; PgDip Construction Law</w:t>
            </w:r>
          </w:p>
        </w:tc>
        <w:tc>
          <w:tcPr>
            <w:tcW w:type="dxa" w:w="800"/>
            <w:tcMar>
              <w:top w:w="80" w:type="dxa"/>
              <w:start w:w="120" w:type="dxa"/>
              <w:bottom w:w="80" w:type="dxa"/>
              <w:end w:w="120" w:type="dxa"/>
            </w:tcMar>
            <w:vAlign w:val="center"/>
          </w:tcPr>
          <w:p>
            <w:pPr>
              <w:spacing w:after="0" w:line="252" w:lineRule="auto"/>
            </w:pPr>
            <w:r>
              <w:rPr>
                <w:rFonts w:ascii="Calibri" w:hAnsi="Calibri"/>
                <w:b w:val="0"/>
                <w:i w:val="0"/>
                <w:color w:val="111111"/>
                <w:sz w:val="15"/>
              </w:rPr>
              <w:t>12</w:t>
            </w:r>
          </w:p>
        </w:tc>
      </w:tr>
      <w:tr>
        <w:trPr>
          <w:cantSplit/>
        </w:trPr>
        <w:tc>
          <w:tcPr>
            <w:tcW w:type="dxa" w:w="55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5"/>
              </w:rPr>
              <w:t>K-2</w:t>
            </w:r>
          </w:p>
        </w:tc>
        <w:tc>
          <w:tcPr>
            <w:tcW w:type="dxa" w:w="185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5"/>
              </w:rPr>
              <w:t>Lead Architect</w:t>
            </w:r>
          </w:p>
        </w:tc>
        <w:tc>
          <w:tcPr>
            <w:tcW w:type="dxa" w:w="155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5"/>
              </w:rPr>
              <w:t>Maya Haddad</w:t>
            </w:r>
          </w:p>
        </w:tc>
        <w:tc>
          <w:tcPr>
            <w:tcW w:type="dxa" w:w="95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5"/>
              </w:rPr>
              <w:t>Lebanese</w:t>
            </w:r>
          </w:p>
        </w:tc>
        <w:tc>
          <w:tcPr>
            <w:tcW w:type="dxa" w:w="5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5"/>
              </w:rPr>
              <w:t>17</w:t>
            </w:r>
          </w:p>
        </w:tc>
        <w:tc>
          <w:tcPr>
            <w:tcW w:type="dxa" w:w="31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5"/>
              </w:rPr>
              <w:t>M.Arch; registered architect; LEED AP BD+C</w:t>
            </w:r>
          </w:p>
        </w:tc>
        <w:tc>
          <w:tcPr>
            <w:tcW w:type="dxa" w:w="8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5"/>
              </w:rPr>
              <w:t>10</w:t>
            </w:r>
          </w:p>
        </w:tc>
      </w:tr>
      <w:tr>
        <w:trPr>
          <w:cantSplit/>
        </w:trPr>
        <w:tc>
          <w:tcPr>
            <w:tcW w:type="dxa" w:w="550"/>
            <w:tcMar>
              <w:top w:w="80" w:type="dxa"/>
              <w:start w:w="120" w:type="dxa"/>
              <w:bottom w:w="80" w:type="dxa"/>
              <w:end w:w="120" w:type="dxa"/>
            </w:tcMar>
            <w:vAlign w:val="center"/>
          </w:tcPr>
          <w:p>
            <w:pPr>
              <w:spacing w:after="0" w:line="252" w:lineRule="auto"/>
            </w:pPr>
            <w:r>
              <w:rPr>
                <w:rFonts w:ascii="Calibri" w:hAnsi="Calibri"/>
                <w:b w:val="0"/>
                <w:i w:val="0"/>
                <w:color w:val="111111"/>
                <w:sz w:val="15"/>
              </w:rPr>
              <w:t>K-3</w:t>
            </w:r>
          </w:p>
        </w:tc>
        <w:tc>
          <w:tcPr>
            <w:tcW w:type="dxa" w:w="1850"/>
            <w:tcMar>
              <w:top w:w="80" w:type="dxa"/>
              <w:start w:w="120" w:type="dxa"/>
              <w:bottom w:w="80" w:type="dxa"/>
              <w:end w:w="120" w:type="dxa"/>
            </w:tcMar>
            <w:vAlign w:val="center"/>
          </w:tcPr>
          <w:p>
            <w:pPr>
              <w:spacing w:after="0" w:line="252" w:lineRule="auto"/>
            </w:pPr>
            <w:r>
              <w:rPr>
                <w:rFonts w:ascii="Calibri" w:hAnsi="Calibri"/>
                <w:b w:val="0"/>
                <w:i w:val="0"/>
                <w:color w:val="111111"/>
                <w:sz w:val="15"/>
              </w:rPr>
              <w:t>Structural Engineer</w:t>
            </w:r>
          </w:p>
        </w:tc>
        <w:tc>
          <w:tcPr>
            <w:tcW w:type="dxa" w:w="1550"/>
            <w:tcMar>
              <w:top w:w="80" w:type="dxa"/>
              <w:start w:w="120" w:type="dxa"/>
              <w:bottom w:w="80" w:type="dxa"/>
              <w:end w:w="120" w:type="dxa"/>
            </w:tcMar>
            <w:vAlign w:val="center"/>
          </w:tcPr>
          <w:p>
            <w:pPr>
              <w:spacing w:after="0" w:line="252" w:lineRule="auto"/>
            </w:pPr>
            <w:r>
              <w:rPr>
                <w:rFonts w:ascii="Calibri" w:hAnsi="Calibri"/>
                <w:b w:val="0"/>
                <w:i w:val="0"/>
                <w:color w:val="111111"/>
                <w:sz w:val="15"/>
              </w:rPr>
              <w:t>Eng. Emmanuel K. Wreh</w:t>
            </w:r>
          </w:p>
        </w:tc>
        <w:tc>
          <w:tcPr>
            <w:tcW w:type="dxa" w:w="950"/>
            <w:tcMar>
              <w:top w:w="80" w:type="dxa"/>
              <w:start w:w="120" w:type="dxa"/>
              <w:bottom w:w="80" w:type="dxa"/>
              <w:end w:w="120" w:type="dxa"/>
            </w:tcMar>
            <w:vAlign w:val="center"/>
          </w:tcPr>
          <w:p>
            <w:pPr>
              <w:spacing w:after="0" w:line="252" w:lineRule="auto"/>
            </w:pPr>
            <w:r>
              <w:rPr>
                <w:rFonts w:ascii="Calibri" w:hAnsi="Calibri"/>
                <w:b w:val="0"/>
                <w:i w:val="0"/>
                <w:color w:val="111111"/>
                <w:sz w:val="15"/>
              </w:rPr>
              <w:t>Liberian</w:t>
            </w:r>
          </w:p>
        </w:tc>
        <w:tc>
          <w:tcPr>
            <w:tcW w:type="dxa" w:w="500"/>
            <w:tcMar>
              <w:top w:w="80" w:type="dxa"/>
              <w:start w:w="120" w:type="dxa"/>
              <w:bottom w:w="80" w:type="dxa"/>
              <w:end w:w="120" w:type="dxa"/>
            </w:tcMar>
            <w:vAlign w:val="center"/>
          </w:tcPr>
          <w:p>
            <w:pPr>
              <w:spacing w:after="0" w:line="252" w:lineRule="auto"/>
            </w:pPr>
            <w:r>
              <w:rPr>
                <w:rFonts w:ascii="Calibri" w:hAnsi="Calibri"/>
                <w:b w:val="0"/>
                <w:i w:val="0"/>
                <w:color w:val="111111"/>
                <w:sz w:val="15"/>
              </w:rPr>
              <w:t>14</w:t>
            </w:r>
          </w:p>
        </w:tc>
        <w:tc>
          <w:tcPr>
            <w:tcW w:type="dxa" w:w="3160"/>
            <w:tcMar>
              <w:top w:w="80" w:type="dxa"/>
              <w:start w:w="120" w:type="dxa"/>
              <w:bottom w:w="80" w:type="dxa"/>
              <w:end w:w="120" w:type="dxa"/>
            </w:tcMar>
            <w:vAlign w:val="center"/>
          </w:tcPr>
          <w:p>
            <w:pPr>
              <w:spacing w:after="0" w:line="252" w:lineRule="auto"/>
            </w:pPr>
            <w:r>
              <w:rPr>
                <w:rFonts w:ascii="Calibri" w:hAnsi="Calibri"/>
                <w:b w:val="0"/>
                <w:i w:val="0"/>
                <w:color w:val="111111"/>
                <w:sz w:val="15"/>
              </w:rPr>
              <w:t>MSc Structural Engineering; professional engineer</w:t>
            </w:r>
          </w:p>
        </w:tc>
        <w:tc>
          <w:tcPr>
            <w:tcW w:type="dxa" w:w="800"/>
            <w:tcMar>
              <w:top w:w="80" w:type="dxa"/>
              <w:start w:w="120" w:type="dxa"/>
              <w:bottom w:w="80" w:type="dxa"/>
              <w:end w:w="120" w:type="dxa"/>
            </w:tcMar>
            <w:vAlign w:val="center"/>
          </w:tcPr>
          <w:p>
            <w:pPr>
              <w:spacing w:after="0" w:line="252" w:lineRule="auto"/>
            </w:pPr>
            <w:r>
              <w:rPr>
                <w:rFonts w:ascii="Calibri" w:hAnsi="Calibri"/>
                <w:b w:val="0"/>
                <w:i w:val="0"/>
                <w:color w:val="111111"/>
                <w:sz w:val="15"/>
              </w:rPr>
              <w:t>8</w:t>
            </w:r>
          </w:p>
        </w:tc>
      </w:tr>
      <w:tr>
        <w:trPr>
          <w:cantSplit/>
        </w:trPr>
        <w:tc>
          <w:tcPr>
            <w:tcW w:type="dxa" w:w="55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5"/>
              </w:rPr>
              <w:t>K-4</w:t>
            </w:r>
          </w:p>
        </w:tc>
        <w:tc>
          <w:tcPr>
            <w:tcW w:type="dxa" w:w="185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5"/>
              </w:rPr>
              <w:t>MEP Engineer</w:t>
            </w:r>
          </w:p>
        </w:tc>
        <w:tc>
          <w:tcPr>
            <w:tcW w:type="dxa" w:w="155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5"/>
              </w:rPr>
              <w:t>Nadine Ghosn</w:t>
            </w:r>
          </w:p>
        </w:tc>
        <w:tc>
          <w:tcPr>
            <w:tcW w:type="dxa" w:w="95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5"/>
              </w:rPr>
              <w:t>Lebanese</w:t>
            </w:r>
          </w:p>
        </w:tc>
        <w:tc>
          <w:tcPr>
            <w:tcW w:type="dxa" w:w="5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5"/>
              </w:rPr>
              <w:t>16</w:t>
            </w:r>
          </w:p>
        </w:tc>
        <w:tc>
          <w:tcPr>
            <w:tcW w:type="dxa" w:w="31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5"/>
              </w:rPr>
              <w:t>MSc Electrical Engineering; CEM; mission-critical MEP</w:t>
            </w:r>
          </w:p>
        </w:tc>
        <w:tc>
          <w:tcPr>
            <w:tcW w:type="dxa" w:w="8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5"/>
              </w:rPr>
              <w:t>7</w:t>
            </w:r>
          </w:p>
        </w:tc>
      </w:tr>
      <w:tr>
        <w:trPr>
          <w:cantSplit/>
        </w:trPr>
        <w:tc>
          <w:tcPr>
            <w:tcW w:type="dxa" w:w="550"/>
            <w:tcMar>
              <w:top w:w="80" w:type="dxa"/>
              <w:start w:w="120" w:type="dxa"/>
              <w:bottom w:w="80" w:type="dxa"/>
              <w:end w:w="120" w:type="dxa"/>
            </w:tcMar>
            <w:vAlign w:val="center"/>
          </w:tcPr>
          <w:p>
            <w:pPr>
              <w:spacing w:after="0" w:line="252" w:lineRule="auto"/>
            </w:pPr>
            <w:r>
              <w:rPr>
                <w:rFonts w:ascii="Calibri" w:hAnsi="Calibri"/>
                <w:b w:val="0"/>
                <w:i w:val="0"/>
                <w:color w:val="111111"/>
                <w:sz w:val="15"/>
              </w:rPr>
              <w:t>K-5</w:t>
            </w:r>
          </w:p>
        </w:tc>
        <w:tc>
          <w:tcPr>
            <w:tcW w:type="dxa" w:w="1850"/>
            <w:tcMar>
              <w:top w:w="80" w:type="dxa"/>
              <w:start w:w="120" w:type="dxa"/>
              <w:bottom w:w="80" w:type="dxa"/>
              <w:end w:w="120" w:type="dxa"/>
            </w:tcMar>
            <w:vAlign w:val="center"/>
          </w:tcPr>
          <w:p>
            <w:pPr>
              <w:spacing w:after="0" w:line="252" w:lineRule="auto"/>
            </w:pPr>
            <w:r>
              <w:rPr>
                <w:rFonts w:ascii="Calibri" w:hAnsi="Calibri"/>
                <w:b w:val="0"/>
                <w:i w:val="0"/>
                <w:color w:val="111111"/>
                <w:sz w:val="15"/>
              </w:rPr>
              <w:t>Construction / Site Supervision Engineer</w:t>
            </w:r>
          </w:p>
        </w:tc>
        <w:tc>
          <w:tcPr>
            <w:tcW w:type="dxa" w:w="1550"/>
            <w:tcMar>
              <w:top w:w="80" w:type="dxa"/>
              <w:start w:w="120" w:type="dxa"/>
              <w:bottom w:w="80" w:type="dxa"/>
              <w:end w:w="120" w:type="dxa"/>
            </w:tcMar>
            <w:vAlign w:val="center"/>
          </w:tcPr>
          <w:p>
            <w:pPr>
              <w:spacing w:after="0" w:line="252" w:lineRule="auto"/>
            </w:pPr>
            <w:r>
              <w:rPr>
                <w:rFonts w:ascii="Calibri" w:hAnsi="Calibri"/>
                <w:b w:val="0"/>
                <w:i w:val="0"/>
                <w:color w:val="111111"/>
                <w:sz w:val="15"/>
              </w:rPr>
              <w:t>Eng. Samuel T. Kpadeh</w:t>
            </w:r>
          </w:p>
        </w:tc>
        <w:tc>
          <w:tcPr>
            <w:tcW w:type="dxa" w:w="950"/>
            <w:tcMar>
              <w:top w:w="80" w:type="dxa"/>
              <w:start w:w="120" w:type="dxa"/>
              <w:bottom w:w="80" w:type="dxa"/>
              <w:end w:w="120" w:type="dxa"/>
            </w:tcMar>
            <w:vAlign w:val="center"/>
          </w:tcPr>
          <w:p>
            <w:pPr>
              <w:spacing w:after="0" w:line="252" w:lineRule="auto"/>
            </w:pPr>
            <w:r>
              <w:rPr>
                <w:rFonts w:ascii="Calibri" w:hAnsi="Calibri"/>
                <w:b w:val="0"/>
                <w:i w:val="0"/>
                <w:color w:val="111111"/>
                <w:sz w:val="15"/>
              </w:rPr>
              <w:t>Liberian</w:t>
            </w:r>
          </w:p>
        </w:tc>
        <w:tc>
          <w:tcPr>
            <w:tcW w:type="dxa" w:w="500"/>
            <w:tcMar>
              <w:top w:w="80" w:type="dxa"/>
              <w:start w:w="120" w:type="dxa"/>
              <w:bottom w:w="80" w:type="dxa"/>
              <w:end w:w="120" w:type="dxa"/>
            </w:tcMar>
            <w:vAlign w:val="center"/>
          </w:tcPr>
          <w:p>
            <w:pPr>
              <w:spacing w:after="0" w:line="252" w:lineRule="auto"/>
            </w:pPr>
            <w:r>
              <w:rPr>
                <w:rFonts w:ascii="Calibri" w:hAnsi="Calibri"/>
                <w:b w:val="0"/>
                <w:i w:val="0"/>
                <w:color w:val="111111"/>
                <w:sz w:val="15"/>
              </w:rPr>
              <w:t>15</w:t>
            </w:r>
          </w:p>
        </w:tc>
        <w:tc>
          <w:tcPr>
            <w:tcW w:type="dxa" w:w="3160"/>
            <w:tcMar>
              <w:top w:w="80" w:type="dxa"/>
              <w:start w:w="120" w:type="dxa"/>
              <w:bottom w:w="80" w:type="dxa"/>
              <w:end w:w="120" w:type="dxa"/>
            </w:tcMar>
            <w:vAlign w:val="center"/>
          </w:tcPr>
          <w:p>
            <w:pPr>
              <w:spacing w:after="0" w:line="252" w:lineRule="auto"/>
            </w:pPr>
            <w:r>
              <w:rPr>
                <w:rFonts w:ascii="Calibri" w:hAnsi="Calibri"/>
                <w:b w:val="0"/>
                <w:i w:val="0"/>
                <w:color w:val="111111"/>
                <w:sz w:val="15"/>
              </w:rPr>
              <w:t>BSc Civil Engineering; site supervision and FIDIC</w:t>
            </w:r>
          </w:p>
        </w:tc>
        <w:tc>
          <w:tcPr>
            <w:tcW w:type="dxa" w:w="800"/>
            <w:tcMar>
              <w:top w:w="80" w:type="dxa"/>
              <w:start w:w="120" w:type="dxa"/>
              <w:bottom w:w="80" w:type="dxa"/>
              <w:end w:w="120" w:type="dxa"/>
            </w:tcMar>
            <w:vAlign w:val="center"/>
          </w:tcPr>
          <w:p>
            <w:pPr>
              <w:spacing w:after="0" w:line="252" w:lineRule="auto"/>
            </w:pPr>
            <w:r>
              <w:rPr>
                <w:rFonts w:ascii="Calibri" w:hAnsi="Calibri"/>
                <w:b w:val="0"/>
                <w:i w:val="0"/>
                <w:color w:val="111111"/>
                <w:sz w:val="15"/>
              </w:rPr>
              <w:t>8</w:t>
            </w:r>
          </w:p>
        </w:tc>
      </w:tr>
      <w:tr>
        <w:trPr>
          <w:cantSplit/>
        </w:trPr>
        <w:tc>
          <w:tcPr>
            <w:tcW w:type="dxa" w:w="55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5"/>
              </w:rPr>
              <w:t>K-6</w:t>
            </w:r>
          </w:p>
        </w:tc>
        <w:tc>
          <w:tcPr>
            <w:tcW w:type="dxa" w:w="185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5"/>
              </w:rPr>
              <w:t>QA/QC Specialist</w:t>
            </w:r>
          </w:p>
        </w:tc>
        <w:tc>
          <w:tcPr>
            <w:tcW w:type="dxa" w:w="155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5"/>
              </w:rPr>
              <w:t>Eng. Grace A. Kollie</w:t>
            </w:r>
          </w:p>
        </w:tc>
        <w:tc>
          <w:tcPr>
            <w:tcW w:type="dxa" w:w="95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5"/>
              </w:rPr>
              <w:t>Liberian</w:t>
            </w:r>
          </w:p>
        </w:tc>
        <w:tc>
          <w:tcPr>
            <w:tcW w:type="dxa" w:w="5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5"/>
              </w:rPr>
              <w:t>12</w:t>
            </w:r>
          </w:p>
        </w:tc>
        <w:tc>
          <w:tcPr>
            <w:tcW w:type="dxa" w:w="31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5"/>
              </w:rPr>
              <w:t>BSc Civil Engineering; ISO 9001 Lead Auditor</w:t>
            </w:r>
          </w:p>
        </w:tc>
        <w:tc>
          <w:tcPr>
            <w:tcW w:type="dxa" w:w="8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5"/>
              </w:rPr>
              <w:t>8</w:t>
            </w:r>
          </w:p>
        </w:tc>
      </w:tr>
      <w:tr>
        <w:trPr>
          <w:cantSplit/>
        </w:trPr>
        <w:tc>
          <w:tcPr>
            <w:tcW w:type="dxa" w:w="550"/>
            <w:tcMar>
              <w:top w:w="80" w:type="dxa"/>
              <w:start w:w="120" w:type="dxa"/>
              <w:bottom w:w="80" w:type="dxa"/>
              <w:end w:w="120" w:type="dxa"/>
            </w:tcMar>
            <w:vAlign w:val="center"/>
          </w:tcPr>
          <w:p>
            <w:pPr>
              <w:spacing w:after="0" w:line="252" w:lineRule="auto"/>
            </w:pPr>
            <w:r>
              <w:rPr>
                <w:rFonts w:ascii="Calibri" w:hAnsi="Calibri"/>
                <w:b w:val="0"/>
                <w:i w:val="0"/>
                <w:color w:val="111111"/>
                <w:sz w:val="15"/>
              </w:rPr>
              <w:t>K-7</w:t>
            </w:r>
          </w:p>
        </w:tc>
        <w:tc>
          <w:tcPr>
            <w:tcW w:type="dxa" w:w="1850"/>
            <w:tcMar>
              <w:top w:w="80" w:type="dxa"/>
              <w:start w:w="120" w:type="dxa"/>
              <w:bottom w:w="80" w:type="dxa"/>
              <w:end w:w="120" w:type="dxa"/>
            </w:tcMar>
            <w:vAlign w:val="center"/>
          </w:tcPr>
          <w:p>
            <w:pPr>
              <w:spacing w:after="0" w:line="252" w:lineRule="auto"/>
            </w:pPr>
            <w:r>
              <w:rPr>
                <w:rFonts w:ascii="Calibri" w:hAnsi="Calibri"/>
                <w:b w:val="0"/>
                <w:i w:val="0"/>
                <w:color w:val="111111"/>
                <w:sz w:val="15"/>
              </w:rPr>
              <w:t>Security Systems Specialist</w:t>
            </w:r>
          </w:p>
        </w:tc>
        <w:tc>
          <w:tcPr>
            <w:tcW w:type="dxa" w:w="1550"/>
            <w:tcMar>
              <w:top w:w="80" w:type="dxa"/>
              <w:start w:w="120" w:type="dxa"/>
              <w:bottom w:w="80" w:type="dxa"/>
              <w:end w:w="120" w:type="dxa"/>
            </w:tcMar>
            <w:vAlign w:val="center"/>
          </w:tcPr>
          <w:p>
            <w:pPr>
              <w:spacing w:after="0" w:line="252" w:lineRule="auto"/>
            </w:pPr>
            <w:r>
              <w:rPr>
                <w:rFonts w:ascii="Calibri" w:hAnsi="Calibri"/>
                <w:b w:val="0"/>
                <w:i w:val="0"/>
                <w:color w:val="111111"/>
                <w:sz w:val="15"/>
              </w:rPr>
              <w:t>Karim Nassar</w:t>
            </w:r>
          </w:p>
        </w:tc>
        <w:tc>
          <w:tcPr>
            <w:tcW w:type="dxa" w:w="950"/>
            <w:tcMar>
              <w:top w:w="80" w:type="dxa"/>
              <w:start w:w="120" w:type="dxa"/>
              <w:bottom w:w="80" w:type="dxa"/>
              <w:end w:w="120" w:type="dxa"/>
            </w:tcMar>
            <w:vAlign w:val="center"/>
          </w:tcPr>
          <w:p>
            <w:pPr>
              <w:spacing w:after="0" w:line="252" w:lineRule="auto"/>
            </w:pPr>
            <w:r>
              <w:rPr>
                <w:rFonts w:ascii="Calibri" w:hAnsi="Calibri"/>
                <w:b w:val="0"/>
                <w:i w:val="0"/>
                <w:color w:val="111111"/>
                <w:sz w:val="15"/>
              </w:rPr>
              <w:t>Lebanese</w:t>
            </w:r>
          </w:p>
        </w:tc>
        <w:tc>
          <w:tcPr>
            <w:tcW w:type="dxa" w:w="500"/>
            <w:tcMar>
              <w:top w:w="80" w:type="dxa"/>
              <w:start w:w="120" w:type="dxa"/>
              <w:bottom w:w="80" w:type="dxa"/>
              <w:end w:w="120" w:type="dxa"/>
            </w:tcMar>
            <w:vAlign w:val="center"/>
          </w:tcPr>
          <w:p>
            <w:pPr>
              <w:spacing w:after="0" w:line="252" w:lineRule="auto"/>
            </w:pPr>
            <w:r>
              <w:rPr>
                <w:rFonts w:ascii="Calibri" w:hAnsi="Calibri"/>
                <w:b w:val="0"/>
                <w:i w:val="0"/>
                <w:color w:val="111111"/>
                <w:sz w:val="15"/>
              </w:rPr>
              <w:t>14</w:t>
            </w:r>
          </w:p>
        </w:tc>
        <w:tc>
          <w:tcPr>
            <w:tcW w:type="dxa" w:w="3160"/>
            <w:tcMar>
              <w:top w:w="80" w:type="dxa"/>
              <w:start w:w="120" w:type="dxa"/>
              <w:bottom w:w="80" w:type="dxa"/>
              <w:end w:w="120" w:type="dxa"/>
            </w:tcMar>
            <w:vAlign w:val="center"/>
          </w:tcPr>
          <w:p>
            <w:pPr>
              <w:spacing w:after="0" w:line="252" w:lineRule="auto"/>
            </w:pPr>
            <w:r>
              <w:rPr>
                <w:rFonts w:ascii="Calibri" w:hAnsi="Calibri"/>
                <w:b w:val="0"/>
                <w:i w:val="0"/>
                <w:color w:val="111111"/>
                <w:sz w:val="15"/>
              </w:rPr>
              <w:t>MSc Cybersecurity; CISSP; PSP; data-center security</w:t>
            </w:r>
          </w:p>
        </w:tc>
        <w:tc>
          <w:tcPr>
            <w:tcW w:type="dxa" w:w="800"/>
            <w:tcMar>
              <w:top w:w="80" w:type="dxa"/>
              <w:start w:w="120" w:type="dxa"/>
              <w:bottom w:w="80" w:type="dxa"/>
              <w:end w:w="120" w:type="dxa"/>
            </w:tcMar>
            <w:vAlign w:val="center"/>
          </w:tcPr>
          <w:p>
            <w:pPr>
              <w:spacing w:after="0" w:line="252" w:lineRule="auto"/>
            </w:pPr>
            <w:r>
              <w:rPr>
                <w:rFonts w:ascii="Calibri" w:hAnsi="Calibri"/>
                <w:b w:val="0"/>
                <w:i w:val="0"/>
                <w:color w:val="111111"/>
                <w:sz w:val="15"/>
              </w:rPr>
              <w:t>7</w:t>
            </w:r>
          </w:p>
        </w:tc>
      </w:tr>
    </w:tbl>
    <w:p>
      <w:pPr>
        <w:spacing w:before="0" w:after="40" w:line="300" w:lineRule="auto"/>
      </w:pPr>
    </w:p>
    <w:p>
      <w:pPr>
        <w:spacing w:before="0" w:after="120" w:line="300" w:lineRule="auto"/>
      </w:pPr>
      <w:r>
        <w:rPr>
          <w:rFonts w:ascii="Calibri" w:hAnsi="Calibri"/>
          <w:b w:val="0"/>
          <w:i/>
          <w:color w:val="2E6B4F"/>
          <w:sz w:val="19"/>
        </w:rPr>
        <w:t>Local content check: K-3, K-5 and K-6 are Liberian nationals (3 of 7). The proposal should also show meaningful Liberian support staff, mentoring outputs and knowledge-transfer indicators.</w:t>
      </w:r>
    </w:p>
    <w:p>
      <w:pPr>
        <w:pStyle w:val="Heading1"/>
        <w:keepNext/>
      </w:pPr>
      <w:r>
        <w:t>3. Fictional company profile</w:t>
      </w:r>
    </w:p>
    <w:tbl>
      <w:tblPr>
        <w:tblStyle w:val="TableGrid"/>
        <w:tblW w:type="dxa" w:w="9360"/>
        <w:jc w:val="left"/>
        <w:tblLayout w:type="fixed"/>
        <w:tblLook w:firstColumn="1" w:firstRow="1" w:lastColumn="0" w:lastRow="0" w:noHBand="0" w:noVBand="1" w:val="04A0"/>
        <w:tblInd w:w="120" w:type="dxa"/>
      </w:tblPr>
      <w:tblGrid>
        <w:gridCol w:w="2200"/>
        <w:gridCol w:w="7160"/>
      </w:tblGrid>
      <w:tr>
        <w:trPr>
          <w:tblHeader w:val="true"/>
          <w:cantSplit/>
        </w:trPr>
        <w:tc>
          <w:tcPr>
            <w:tcW w:type="dxa" w:w="2200"/>
            <w:shd w:fill="18324A"/>
            <w:tcMar>
              <w:top w:w="80" w:type="dxa"/>
              <w:start w:w="120" w:type="dxa"/>
              <w:bottom w:w="80" w:type="dxa"/>
              <w:end w:w="120" w:type="dxa"/>
            </w:tcMar>
            <w:vAlign w:val="center"/>
          </w:tcPr>
          <w:p>
            <w:pPr>
              <w:spacing w:after="0"/>
              <w:jc w:val="center"/>
            </w:pPr>
            <w:r>
              <w:rPr>
                <w:rFonts w:ascii="Calibri" w:hAnsi="Calibri"/>
                <w:b/>
                <w:i w:val="0"/>
                <w:color w:val="FFFFFF"/>
                <w:sz w:val="18"/>
              </w:rPr>
              <w:t>Profile item</w:t>
            </w:r>
          </w:p>
        </w:tc>
        <w:tc>
          <w:tcPr>
            <w:tcW w:type="dxa" w:w="7160"/>
            <w:shd w:fill="18324A"/>
            <w:tcMar>
              <w:top w:w="80" w:type="dxa"/>
              <w:start w:w="120" w:type="dxa"/>
              <w:bottom w:w="80" w:type="dxa"/>
              <w:end w:w="120" w:type="dxa"/>
            </w:tcMar>
            <w:vAlign w:val="center"/>
          </w:tcPr>
          <w:p>
            <w:pPr>
              <w:spacing w:after="0"/>
              <w:jc w:val="center"/>
            </w:pPr>
            <w:r>
              <w:rPr>
                <w:rFonts w:ascii="Calibri" w:hAnsi="Calibri"/>
                <w:b/>
                <w:i w:val="0"/>
                <w:color w:val="FFFFFF"/>
                <w:sz w:val="18"/>
              </w:rPr>
              <w:t>Illustrative content</w:t>
            </w:r>
          </w:p>
        </w:tc>
      </w:tr>
      <w:tr>
        <w:trPr>
          <w:cantSplit/>
        </w:trPr>
        <w:tc>
          <w:tcPr>
            <w:tcW w:type="dxa" w:w="2200"/>
            <w:tcMar>
              <w:top w:w="80" w:type="dxa"/>
              <w:start w:w="120" w:type="dxa"/>
              <w:bottom w:w="80" w:type="dxa"/>
              <w:end w:w="120" w:type="dxa"/>
            </w:tcMar>
            <w:vAlign w:val="center"/>
          </w:tcPr>
          <w:p>
            <w:pPr>
              <w:spacing w:after="0" w:line="252" w:lineRule="auto"/>
            </w:pPr>
            <w:r>
              <w:rPr>
                <w:rFonts w:ascii="Calibri" w:hAnsi="Calibri"/>
                <w:b w:val="0"/>
                <w:i w:val="0"/>
                <w:color w:val="111111"/>
                <w:sz w:val="18"/>
              </w:rPr>
              <w:t>Legal name</w:t>
            </w:r>
          </w:p>
        </w:tc>
        <w:tc>
          <w:tcPr>
            <w:tcW w:type="dxa" w:w="7160"/>
            <w:tcMar>
              <w:top w:w="80" w:type="dxa"/>
              <w:start w:w="120" w:type="dxa"/>
              <w:bottom w:w="80" w:type="dxa"/>
              <w:end w:w="120" w:type="dxa"/>
            </w:tcMar>
            <w:vAlign w:val="center"/>
          </w:tcPr>
          <w:p>
            <w:pPr>
              <w:spacing w:after="0" w:line="252" w:lineRule="auto"/>
            </w:pPr>
            <w:r>
              <w:rPr>
                <w:rFonts w:ascii="Calibri" w:hAnsi="Calibri"/>
                <w:b w:val="0"/>
                <w:i w:val="0"/>
                <w:color w:val="111111"/>
                <w:sz w:val="18"/>
              </w:rPr>
              <w:t>Cedars Integrated Consulting S.A.L. (CIC)</w:t>
            </w:r>
          </w:p>
        </w:tc>
      </w:tr>
      <w:tr>
        <w:trPr>
          <w:cantSplit/>
        </w:trPr>
        <w:tc>
          <w:tcPr>
            <w:tcW w:type="dxa" w:w="22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8"/>
              </w:rPr>
              <w:t>Country / office</w:t>
            </w:r>
          </w:p>
        </w:tc>
        <w:tc>
          <w:tcPr>
            <w:tcW w:type="dxa" w:w="71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8"/>
              </w:rPr>
              <w:t>Lebanon / Beirut, with a proposed project office in Monrovia</w:t>
            </w:r>
          </w:p>
        </w:tc>
      </w:tr>
      <w:tr>
        <w:trPr>
          <w:cantSplit/>
        </w:trPr>
        <w:tc>
          <w:tcPr>
            <w:tcW w:type="dxa" w:w="2200"/>
            <w:tcMar>
              <w:top w:w="80" w:type="dxa"/>
              <w:start w:w="120" w:type="dxa"/>
              <w:bottom w:w="80" w:type="dxa"/>
              <w:end w:w="120" w:type="dxa"/>
            </w:tcMar>
            <w:vAlign w:val="center"/>
          </w:tcPr>
          <w:p>
            <w:pPr>
              <w:spacing w:after="0" w:line="252" w:lineRule="auto"/>
            </w:pPr>
            <w:r>
              <w:rPr>
                <w:rFonts w:ascii="Calibri" w:hAnsi="Calibri"/>
                <w:b w:val="0"/>
                <w:i w:val="0"/>
                <w:color w:val="111111"/>
                <w:sz w:val="18"/>
              </w:rPr>
              <w:t>Legal form</w:t>
            </w:r>
          </w:p>
        </w:tc>
        <w:tc>
          <w:tcPr>
            <w:tcW w:type="dxa" w:w="7160"/>
            <w:tcMar>
              <w:top w:w="80" w:type="dxa"/>
              <w:start w:w="120" w:type="dxa"/>
              <w:bottom w:w="80" w:type="dxa"/>
              <w:end w:w="120" w:type="dxa"/>
            </w:tcMar>
            <w:vAlign w:val="center"/>
          </w:tcPr>
          <w:p>
            <w:pPr>
              <w:spacing w:after="0" w:line="252" w:lineRule="auto"/>
            </w:pPr>
            <w:r>
              <w:rPr>
                <w:rFonts w:ascii="Calibri" w:hAnsi="Calibri"/>
                <w:b w:val="0"/>
                <w:i w:val="0"/>
                <w:color w:val="111111"/>
                <w:sz w:val="18"/>
              </w:rPr>
              <w:t>Lebanese joint-stock company (S.A.L.) - fictional</w:t>
            </w:r>
          </w:p>
        </w:tc>
      </w:tr>
      <w:tr>
        <w:trPr>
          <w:cantSplit/>
        </w:trPr>
        <w:tc>
          <w:tcPr>
            <w:tcW w:type="dxa" w:w="22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8"/>
              </w:rPr>
              <w:t>Established</w:t>
            </w:r>
          </w:p>
        </w:tc>
        <w:tc>
          <w:tcPr>
            <w:tcW w:type="dxa" w:w="71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8"/>
              </w:rPr>
              <w:t>2008 (18 years of operation at the assumed 2026 submission date)</w:t>
            </w:r>
          </w:p>
        </w:tc>
      </w:tr>
      <w:tr>
        <w:trPr>
          <w:cantSplit/>
        </w:trPr>
        <w:tc>
          <w:tcPr>
            <w:tcW w:type="dxa" w:w="2200"/>
            <w:tcMar>
              <w:top w:w="80" w:type="dxa"/>
              <w:start w:w="120" w:type="dxa"/>
              <w:bottom w:w="80" w:type="dxa"/>
              <w:end w:w="120" w:type="dxa"/>
            </w:tcMar>
            <w:vAlign w:val="center"/>
          </w:tcPr>
          <w:p>
            <w:pPr>
              <w:spacing w:after="0" w:line="252" w:lineRule="auto"/>
            </w:pPr>
            <w:r>
              <w:rPr>
                <w:rFonts w:ascii="Calibri" w:hAnsi="Calibri"/>
                <w:b w:val="0"/>
                <w:i w:val="0"/>
                <w:color w:val="111111"/>
                <w:sz w:val="18"/>
              </w:rPr>
              <w:t>Core services</w:t>
            </w:r>
          </w:p>
        </w:tc>
        <w:tc>
          <w:tcPr>
            <w:tcW w:type="dxa" w:w="7160"/>
            <w:tcMar>
              <w:top w:w="80" w:type="dxa"/>
              <w:start w:w="120" w:type="dxa"/>
              <w:bottom w:w="80" w:type="dxa"/>
              <w:end w:w="120" w:type="dxa"/>
            </w:tcMar>
            <w:vAlign w:val="center"/>
          </w:tcPr>
          <w:p>
            <w:pPr>
              <w:spacing w:after="0" w:line="252" w:lineRule="auto"/>
            </w:pPr>
            <w:r>
              <w:rPr>
                <w:rFonts w:ascii="Calibri" w:hAnsi="Calibri"/>
                <w:b w:val="0"/>
                <w:i w:val="0"/>
                <w:color w:val="111111"/>
                <w:sz w:val="18"/>
              </w:rPr>
              <w:t>Architecture, structural and MEP engineering, ICT/data-center design, project management, cost consultancy, construction supervision, QA/QC and commissioning</w:t>
            </w:r>
          </w:p>
        </w:tc>
      </w:tr>
      <w:tr>
        <w:trPr>
          <w:cantSplit/>
        </w:trPr>
        <w:tc>
          <w:tcPr>
            <w:tcW w:type="dxa" w:w="22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8"/>
              </w:rPr>
              <w:t>Quality systems</w:t>
            </w:r>
          </w:p>
        </w:tc>
        <w:tc>
          <w:tcPr>
            <w:tcW w:type="dxa" w:w="71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8"/>
              </w:rPr>
              <w:t>Illustrative ISO 9001:2015 and ISO 45001:2018 management systems - certificates must be replaced and verified</w:t>
            </w:r>
          </w:p>
        </w:tc>
      </w:tr>
      <w:tr>
        <w:trPr>
          <w:cantSplit/>
        </w:trPr>
        <w:tc>
          <w:tcPr>
            <w:tcW w:type="dxa" w:w="2200"/>
            <w:tcMar>
              <w:top w:w="80" w:type="dxa"/>
              <w:start w:w="120" w:type="dxa"/>
              <w:bottom w:w="80" w:type="dxa"/>
              <w:end w:w="120" w:type="dxa"/>
            </w:tcMar>
            <w:vAlign w:val="center"/>
          </w:tcPr>
          <w:p>
            <w:pPr>
              <w:spacing w:after="0" w:line="252" w:lineRule="auto"/>
            </w:pPr>
            <w:r>
              <w:rPr>
                <w:rFonts w:ascii="Calibri" w:hAnsi="Calibri"/>
                <w:b w:val="0"/>
                <w:i w:val="0"/>
                <w:color w:val="111111"/>
                <w:sz w:val="18"/>
              </w:rPr>
              <w:t>Staffing</w:t>
            </w:r>
          </w:p>
        </w:tc>
        <w:tc>
          <w:tcPr>
            <w:tcW w:type="dxa" w:w="7160"/>
            <w:tcMar>
              <w:top w:w="80" w:type="dxa"/>
              <w:start w:w="120" w:type="dxa"/>
              <w:bottom w:w="80" w:type="dxa"/>
              <w:end w:w="120" w:type="dxa"/>
            </w:tcMar>
            <w:vAlign w:val="center"/>
          </w:tcPr>
          <w:p>
            <w:pPr>
              <w:spacing w:after="0" w:line="252" w:lineRule="auto"/>
            </w:pPr>
            <w:r>
              <w:rPr>
                <w:rFonts w:ascii="Calibri" w:hAnsi="Calibri"/>
                <w:b w:val="0"/>
                <w:i w:val="0"/>
                <w:color w:val="111111"/>
                <w:sz w:val="18"/>
              </w:rPr>
              <w:t>62 permanent professionals plus project-based specialists; 11 proposed for this assignment</w:t>
            </w:r>
          </w:p>
        </w:tc>
      </w:tr>
      <w:tr>
        <w:trPr>
          <w:cantSplit/>
        </w:trPr>
        <w:tc>
          <w:tcPr>
            <w:tcW w:type="dxa" w:w="22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8"/>
              </w:rPr>
              <w:t>Bid status</w:t>
            </w:r>
          </w:p>
        </w:tc>
        <w:tc>
          <w:tcPr>
            <w:tcW w:type="dxa" w:w="71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8"/>
              </w:rPr>
              <w:t>Sole foreign bidder using individual Liberian experts and a local administrative/logistics subconsultant; no claim to the 50% Liberian-ownership preference</w:t>
            </w:r>
          </w:p>
        </w:tc>
      </w:tr>
      <w:tr>
        <w:trPr>
          <w:cantSplit/>
        </w:trPr>
        <w:tc>
          <w:tcPr>
            <w:tcW w:type="dxa" w:w="2200"/>
            <w:tcMar>
              <w:top w:w="80" w:type="dxa"/>
              <w:start w:w="120" w:type="dxa"/>
              <w:bottom w:w="80" w:type="dxa"/>
              <w:end w:w="120" w:type="dxa"/>
            </w:tcMar>
            <w:vAlign w:val="center"/>
          </w:tcPr>
          <w:p>
            <w:pPr>
              <w:spacing w:after="0" w:line="252" w:lineRule="auto"/>
            </w:pPr>
            <w:r>
              <w:rPr>
                <w:rFonts w:ascii="Calibri" w:hAnsi="Calibri"/>
                <w:b w:val="0"/>
                <w:i w:val="0"/>
                <w:color w:val="111111"/>
                <w:sz w:val="18"/>
              </w:rPr>
              <w:t>Independence</w:t>
            </w:r>
          </w:p>
        </w:tc>
        <w:tc>
          <w:tcPr>
            <w:tcW w:type="dxa" w:w="7160"/>
            <w:tcMar>
              <w:top w:w="80" w:type="dxa"/>
              <w:start w:w="120" w:type="dxa"/>
              <w:bottom w:w="80" w:type="dxa"/>
              <w:end w:w="120" w:type="dxa"/>
            </w:tcMar>
            <w:vAlign w:val="center"/>
          </w:tcPr>
          <w:p>
            <w:pPr>
              <w:spacing w:after="0" w:line="252" w:lineRule="auto"/>
            </w:pPr>
            <w:r>
              <w:rPr>
                <w:rFonts w:ascii="Calibri" w:hAnsi="Calibri"/>
                <w:b w:val="0"/>
                <w:i w:val="0"/>
                <w:color w:val="111111"/>
                <w:sz w:val="18"/>
              </w:rPr>
              <w:t>No affiliation with, financial interest in, or proposed role for any construction bidder on the LIB-PSS works</w:t>
            </w:r>
          </w:p>
        </w:tc>
      </w:tr>
    </w:tbl>
    <w:p>
      <w:pPr>
        <w:spacing w:before="0" w:after="40" w:line="300" w:lineRule="auto"/>
      </w:pPr>
    </w:p>
    <w:p>
      <w:pPr>
        <w:pStyle w:val="Heading2"/>
        <w:keepNext/>
      </w:pPr>
      <w:r>
        <w:t>Illustrative relevant firm experience</w:t>
      </w:r>
    </w:p>
    <w:tbl>
      <w:tblPr>
        <w:tblStyle w:val="TableGrid"/>
        <w:tblW w:type="dxa" w:w="9360"/>
        <w:jc w:val="left"/>
        <w:tblLayout w:type="fixed"/>
        <w:tblLook w:firstColumn="1" w:firstRow="1" w:lastColumn="0" w:lastRow="0" w:noHBand="0" w:noVBand="1" w:val="04A0"/>
        <w:tblInd w:w="120" w:type="dxa"/>
      </w:tblPr>
      <w:tblGrid>
        <w:gridCol w:w="1100"/>
        <w:gridCol w:w="3300"/>
        <w:gridCol w:w="1300"/>
        <w:gridCol w:w="3660"/>
      </w:tblGrid>
      <w:tr>
        <w:trPr>
          <w:tblHeader w:val="true"/>
          <w:cantSplit/>
        </w:trPr>
        <w:tc>
          <w:tcPr>
            <w:tcW w:type="dxa" w:w="1100"/>
            <w:shd w:fill="18324A"/>
            <w:tcMar>
              <w:top w:w="80" w:type="dxa"/>
              <w:start w:w="120" w:type="dxa"/>
              <w:bottom w:w="80" w:type="dxa"/>
              <w:end w:w="120" w:type="dxa"/>
            </w:tcMar>
            <w:vAlign w:val="center"/>
          </w:tcPr>
          <w:p>
            <w:pPr>
              <w:spacing w:after="0"/>
              <w:jc w:val="center"/>
            </w:pPr>
            <w:r>
              <w:rPr>
                <w:rFonts w:ascii="Calibri" w:hAnsi="Calibri"/>
                <w:b/>
                <w:i w:val="0"/>
                <w:color w:val="FFFFFF"/>
                <w:sz w:val="16"/>
              </w:rPr>
              <w:t>Period</w:t>
            </w:r>
          </w:p>
        </w:tc>
        <w:tc>
          <w:tcPr>
            <w:tcW w:type="dxa" w:w="3300"/>
            <w:shd w:fill="18324A"/>
            <w:tcMar>
              <w:top w:w="80" w:type="dxa"/>
              <w:start w:w="120" w:type="dxa"/>
              <w:bottom w:w="80" w:type="dxa"/>
              <w:end w:w="120" w:type="dxa"/>
            </w:tcMar>
            <w:vAlign w:val="center"/>
          </w:tcPr>
          <w:p>
            <w:pPr>
              <w:spacing w:after="0"/>
              <w:jc w:val="center"/>
            </w:pPr>
            <w:r>
              <w:rPr>
                <w:rFonts w:ascii="Calibri" w:hAnsi="Calibri"/>
                <w:b/>
                <w:i w:val="0"/>
                <w:color w:val="FFFFFF"/>
                <w:sz w:val="16"/>
              </w:rPr>
              <w:t>Fictional contract</w:t>
            </w:r>
          </w:p>
        </w:tc>
        <w:tc>
          <w:tcPr>
            <w:tcW w:type="dxa" w:w="1300"/>
            <w:shd w:fill="18324A"/>
            <w:tcMar>
              <w:top w:w="80" w:type="dxa"/>
              <w:start w:w="120" w:type="dxa"/>
              <w:bottom w:w="80" w:type="dxa"/>
              <w:end w:w="120" w:type="dxa"/>
            </w:tcMar>
            <w:vAlign w:val="center"/>
          </w:tcPr>
          <w:p>
            <w:pPr>
              <w:spacing w:after="0"/>
              <w:jc w:val="center"/>
            </w:pPr>
            <w:r>
              <w:rPr>
                <w:rFonts w:ascii="Calibri" w:hAnsi="Calibri"/>
                <w:b/>
                <w:i w:val="0"/>
                <w:color w:val="FFFFFF"/>
                <w:sz w:val="16"/>
              </w:rPr>
              <w:t>Scale</w:t>
            </w:r>
          </w:p>
        </w:tc>
        <w:tc>
          <w:tcPr>
            <w:tcW w:type="dxa" w:w="3660"/>
            <w:shd w:fill="18324A"/>
            <w:tcMar>
              <w:top w:w="80" w:type="dxa"/>
              <w:start w:w="120" w:type="dxa"/>
              <w:bottom w:w="80" w:type="dxa"/>
              <w:end w:w="120" w:type="dxa"/>
            </w:tcMar>
            <w:vAlign w:val="center"/>
          </w:tcPr>
          <w:p>
            <w:pPr>
              <w:spacing w:after="0"/>
              <w:jc w:val="center"/>
            </w:pPr>
            <w:r>
              <w:rPr>
                <w:rFonts w:ascii="Calibri" w:hAnsi="Calibri"/>
                <w:b/>
                <w:i w:val="0"/>
                <w:color w:val="FFFFFF"/>
                <w:sz w:val="16"/>
              </w:rPr>
              <w:t>Relevance</w:t>
            </w:r>
          </w:p>
        </w:tc>
      </w:tr>
      <w:tr>
        <w:trPr>
          <w:cantSplit/>
        </w:trPr>
        <w:tc>
          <w:tcPr>
            <w:tcW w:type="dxa" w:w="1100"/>
            <w:tcMar>
              <w:top w:w="80" w:type="dxa"/>
              <w:start w:w="120" w:type="dxa"/>
              <w:bottom w:w="80" w:type="dxa"/>
              <w:end w:w="120" w:type="dxa"/>
            </w:tcMar>
            <w:vAlign w:val="center"/>
          </w:tcPr>
          <w:p>
            <w:pPr>
              <w:spacing w:after="0" w:line="252" w:lineRule="auto"/>
            </w:pPr>
            <w:r>
              <w:rPr>
                <w:rFonts w:ascii="Calibri" w:hAnsi="Calibri"/>
                <w:b w:val="0"/>
                <w:i w:val="0"/>
                <w:color w:val="111111"/>
                <w:sz w:val="16"/>
              </w:rPr>
              <w:t>2022-2025</w:t>
            </w:r>
          </w:p>
        </w:tc>
        <w:tc>
          <w:tcPr>
            <w:tcW w:type="dxa" w:w="3300"/>
            <w:tcMar>
              <w:top w:w="80" w:type="dxa"/>
              <w:start w:w="120" w:type="dxa"/>
              <w:bottom w:w="80" w:type="dxa"/>
              <w:end w:w="120" w:type="dxa"/>
            </w:tcMar>
            <w:vAlign w:val="center"/>
          </w:tcPr>
          <w:p>
            <w:pPr>
              <w:spacing w:after="0" w:line="252" w:lineRule="auto"/>
            </w:pPr>
            <w:r>
              <w:rPr>
                <w:rFonts w:ascii="Calibri" w:hAnsi="Calibri"/>
                <w:b w:val="0"/>
                <w:i w:val="0"/>
                <w:color w:val="111111"/>
                <w:sz w:val="16"/>
              </w:rPr>
              <w:t>Fictional Eastern Mediterranean Clearing House Operations Centre, Cyprus</w:t>
            </w:r>
          </w:p>
        </w:tc>
        <w:tc>
          <w:tcPr>
            <w:tcW w:type="dxa" w:w="1300"/>
            <w:tcMar>
              <w:top w:w="80" w:type="dxa"/>
              <w:start w:w="120" w:type="dxa"/>
              <w:bottom w:w="80" w:type="dxa"/>
              <w:end w:w="120" w:type="dxa"/>
            </w:tcMar>
            <w:vAlign w:val="center"/>
          </w:tcPr>
          <w:p>
            <w:pPr>
              <w:spacing w:after="0" w:line="252" w:lineRule="auto"/>
            </w:pPr>
            <w:r>
              <w:rPr>
                <w:rFonts w:ascii="Calibri" w:hAnsi="Calibri"/>
                <w:b w:val="0"/>
                <w:i w:val="0"/>
                <w:color w:val="111111"/>
                <w:sz w:val="16"/>
              </w:rPr>
              <w:t>USD 48m works</w:t>
            </w:r>
          </w:p>
        </w:tc>
        <w:tc>
          <w:tcPr>
            <w:tcW w:type="dxa" w:w="3660"/>
            <w:tcMar>
              <w:top w:w="80" w:type="dxa"/>
              <w:start w:w="120" w:type="dxa"/>
              <w:bottom w:w="80" w:type="dxa"/>
              <w:end w:w="120" w:type="dxa"/>
            </w:tcMar>
            <w:vAlign w:val="center"/>
          </w:tcPr>
          <w:p>
            <w:pPr>
              <w:spacing w:after="0" w:line="252" w:lineRule="auto"/>
            </w:pPr>
            <w:r>
              <w:rPr>
                <w:rFonts w:ascii="Calibri" w:hAnsi="Calibri"/>
                <w:b w:val="0"/>
                <w:i w:val="0"/>
                <w:color w:val="111111"/>
                <w:sz w:val="16"/>
              </w:rPr>
              <w:t>Integrated design, secure operations spaces, Tier-aligned data center, procurement support and supervision</w:t>
            </w:r>
          </w:p>
        </w:tc>
      </w:tr>
      <w:tr>
        <w:trPr>
          <w:cantSplit/>
        </w:trPr>
        <w:tc>
          <w:tcPr>
            <w:tcW w:type="dxa" w:w="11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2021-2024</w:t>
            </w:r>
          </w:p>
        </w:tc>
        <w:tc>
          <w:tcPr>
            <w:tcW w:type="dxa" w:w="33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Fictional West Africa Revenue Authority Headquarters, Ghana</w:t>
            </w:r>
          </w:p>
        </w:tc>
        <w:tc>
          <w:tcPr>
            <w:tcW w:type="dxa" w:w="13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USD 36m works</w:t>
            </w:r>
          </w:p>
        </w:tc>
        <w:tc>
          <w:tcPr>
            <w:tcW w:type="dxa" w:w="36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Architecture, MEP, ICT/security, BOQ, tendering, QA/QC and commissioning</w:t>
            </w:r>
          </w:p>
        </w:tc>
      </w:tr>
      <w:tr>
        <w:trPr>
          <w:cantSplit/>
        </w:trPr>
        <w:tc>
          <w:tcPr>
            <w:tcW w:type="dxa" w:w="1100"/>
            <w:tcMar>
              <w:top w:w="80" w:type="dxa"/>
              <w:start w:w="120" w:type="dxa"/>
              <w:bottom w:w="80" w:type="dxa"/>
              <w:end w:w="120" w:type="dxa"/>
            </w:tcMar>
            <w:vAlign w:val="center"/>
          </w:tcPr>
          <w:p>
            <w:pPr>
              <w:spacing w:after="0" w:line="252" w:lineRule="auto"/>
            </w:pPr>
            <w:r>
              <w:rPr>
                <w:rFonts w:ascii="Calibri" w:hAnsi="Calibri"/>
                <w:b w:val="0"/>
                <w:i w:val="0"/>
                <w:color w:val="111111"/>
                <w:sz w:val="16"/>
              </w:rPr>
              <w:t>2019-2023</w:t>
            </w:r>
          </w:p>
        </w:tc>
        <w:tc>
          <w:tcPr>
            <w:tcW w:type="dxa" w:w="3300"/>
            <w:tcMar>
              <w:top w:w="80" w:type="dxa"/>
              <w:start w:w="120" w:type="dxa"/>
              <w:bottom w:w="80" w:type="dxa"/>
              <w:end w:w="120" w:type="dxa"/>
            </w:tcMar>
            <w:vAlign w:val="center"/>
          </w:tcPr>
          <w:p>
            <w:pPr>
              <w:spacing w:after="0" w:line="252" w:lineRule="auto"/>
            </w:pPr>
            <w:r>
              <w:rPr>
                <w:rFonts w:ascii="Calibri" w:hAnsi="Calibri"/>
                <w:b w:val="0"/>
                <w:i w:val="0"/>
                <w:color w:val="111111"/>
                <w:sz w:val="16"/>
              </w:rPr>
              <w:t>Fictional National Digital Services Campus, Jordan</w:t>
            </w:r>
          </w:p>
        </w:tc>
        <w:tc>
          <w:tcPr>
            <w:tcW w:type="dxa" w:w="1300"/>
            <w:tcMar>
              <w:top w:w="80" w:type="dxa"/>
              <w:start w:w="120" w:type="dxa"/>
              <w:bottom w:w="80" w:type="dxa"/>
              <w:end w:w="120" w:type="dxa"/>
            </w:tcMar>
            <w:vAlign w:val="center"/>
          </w:tcPr>
          <w:p>
            <w:pPr>
              <w:spacing w:after="0" w:line="252" w:lineRule="auto"/>
            </w:pPr>
            <w:r>
              <w:rPr>
                <w:rFonts w:ascii="Calibri" w:hAnsi="Calibri"/>
                <w:b w:val="0"/>
                <w:i w:val="0"/>
                <w:color w:val="111111"/>
                <w:sz w:val="16"/>
              </w:rPr>
              <w:t>USD 55m works</w:t>
            </w:r>
          </w:p>
        </w:tc>
        <w:tc>
          <w:tcPr>
            <w:tcW w:type="dxa" w:w="3660"/>
            <w:tcMar>
              <w:top w:w="80" w:type="dxa"/>
              <w:start w:w="120" w:type="dxa"/>
              <w:bottom w:w="80" w:type="dxa"/>
              <w:end w:w="120" w:type="dxa"/>
            </w:tcMar>
            <w:vAlign w:val="center"/>
          </w:tcPr>
          <w:p>
            <w:pPr>
              <w:spacing w:after="0" w:line="252" w:lineRule="auto"/>
            </w:pPr>
            <w:r>
              <w:rPr>
                <w:rFonts w:ascii="Calibri" w:hAnsi="Calibri"/>
                <w:b w:val="0"/>
                <w:i w:val="0"/>
                <w:color w:val="111111"/>
                <w:sz w:val="16"/>
              </w:rPr>
              <w:t>Mission-critical facility design, redundant power/cooling, security integration and contract administration</w:t>
            </w:r>
          </w:p>
        </w:tc>
      </w:tr>
      <w:tr>
        <w:trPr>
          <w:cantSplit/>
        </w:trPr>
        <w:tc>
          <w:tcPr>
            <w:tcW w:type="dxa" w:w="11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2018-2021</w:t>
            </w:r>
          </w:p>
        </w:tc>
        <w:tc>
          <w:tcPr>
            <w:tcW w:type="dxa" w:w="33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Fictional Banque du Levant Resilience Centre, Lebanon</w:t>
            </w:r>
          </w:p>
        </w:tc>
        <w:tc>
          <w:tcPr>
            <w:tcW w:type="dxa" w:w="13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USD 29m works</w:t>
            </w:r>
          </w:p>
        </w:tc>
        <w:tc>
          <w:tcPr>
            <w:tcW w:type="dxa" w:w="36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Business-continuity site, secure ICT, construction supervision and DLP monitoring</w:t>
            </w:r>
          </w:p>
        </w:tc>
      </w:tr>
      <w:tr>
        <w:trPr>
          <w:cantSplit/>
        </w:trPr>
        <w:tc>
          <w:tcPr>
            <w:tcW w:type="dxa" w:w="1100"/>
            <w:tcMar>
              <w:top w:w="80" w:type="dxa"/>
              <w:start w:w="120" w:type="dxa"/>
              <w:bottom w:w="80" w:type="dxa"/>
              <w:end w:w="120" w:type="dxa"/>
            </w:tcMar>
            <w:vAlign w:val="center"/>
          </w:tcPr>
          <w:p>
            <w:pPr>
              <w:spacing w:after="0" w:line="252" w:lineRule="auto"/>
            </w:pPr>
            <w:r>
              <w:rPr>
                <w:rFonts w:ascii="Calibri" w:hAnsi="Calibri"/>
                <w:b w:val="0"/>
                <w:i w:val="0"/>
                <w:color w:val="111111"/>
                <w:sz w:val="16"/>
              </w:rPr>
              <w:t>2017-2020</w:t>
            </w:r>
          </w:p>
        </w:tc>
        <w:tc>
          <w:tcPr>
            <w:tcW w:type="dxa" w:w="3300"/>
            <w:tcMar>
              <w:top w:w="80" w:type="dxa"/>
              <w:start w:w="120" w:type="dxa"/>
              <w:bottom w:w="80" w:type="dxa"/>
              <w:end w:w="120" w:type="dxa"/>
            </w:tcMar>
            <w:vAlign w:val="center"/>
          </w:tcPr>
          <w:p>
            <w:pPr>
              <w:spacing w:after="0" w:line="252" w:lineRule="auto"/>
            </w:pPr>
            <w:r>
              <w:rPr>
                <w:rFonts w:ascii="Calibri" w:hAnsi="Calibri"/>
                <w:b w:val="0"/>
                <w:i w:val="0"/>
                <w:color w:val="111111"/>
                <w:sz w:val="16"/>
              </w:rPr>
              <w:t>Fictional Coastal Administration Complex, Senegal</w:t>
            </w:r>
          </w:p>
        </w:tc>
        <w:tc>
          <w:tcPr>
            <w:tcW w:type="dxa" w:w="1300"/>
            <w:tcMar>
              <w:top w:w="80" w:type="dxa"/>
              <w:start w:w="120" w:type="dxa"/>
              <w:bottom w:w="80" w:type="dxa"/>
              <w:end w:w="120" w:type="dxa"/>
            </w:tcMar>
            <w:vAlign w:val="center"/>
          </w:tcPr>
          <w:p>
            <w:pPr>
              <w:spacing w:after="0" w:line="252" w:lineRule="auto"/>
            </w:pPr>
            <w:r>
              <w:rPr>
                <w:rFonts w:ascii="Calibri" w:hAnsi="Calibri"/>
                <w:b w:val="0"/>
                <w:i w:val="0"/>
                <w:color w:val="111111"/>
                <w:sz w:val="16"/>
              </w:rPr>
              <w:t>USD 42m works</w:t>
            </w:r>
          </w:p>
        </w:tc>
        <w:tc>
          <w:tcPr>
            <w:tcW w:type="dxa" w:w="3660"/>
            <w:tcMar>
              <w:top w:w="80" w:type="dxa"/>
              <w:start w:w="120" w:type="dxa"/>
              <w:bottom w:w="80" w:type="dxa"/>
              <w:end w:w="120" w:type="dxa"/>
            </w:tcMar>
            <w:vAlign w:val="center"/>
          </w:tcPr>
          <w:p>
            <w:pPr>
              <w:spacing w:after="0" w:line="252" w:lineRule="auto"/>
            </w:pPr>
            <w:r>
              <w:rPr>
                <w:rFonts w:ascii="Calibri" w:hAnsi="Calibri"/>
                <w:b w:val="0"/>
                <w:i w:val="0"/>
                <w:color w:val="111111"/>
                <w:sz w:val="16"/>
              </w:rPr>
              <w:t>Climate-resilient design, procurement-ready documentation, cost management and site supervision</w:t>
            </w:r>
          </w:p>
        </w:tc>
      </w:tr>
    </w:tbl>
    <w:p>
      <w:pPr>
        <w:spacing w:before="0" w:after="40" w:line="300" w:lineRule="auto"/>
      </w:pPr>
    </w:p>
    <w:tbl>
      <w:tblPr>
        <w:tblW w:type="dxa" w:w="9360"/>
        <w:jc w:val="left"/>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vAlign w:val="center"/>
            <w:shd w:fill="EEF8F5"/>
          </w:tcPr>
          <w:p>
            <w:pPr>
              <w:spacing w:after="40"/>
            </w:pPr>
            <w:r>
              <w:rPr>
                <w:rFonts w:ascii="Calibri" w:hAnsi="Calibri"/>
                <w:b/>
                <w:i w:val="0"/>
                <w:color w:val="2E6B4F"/>
                <w:sz w:val="22"/>
              </w:rPr>
              <w:t xml:space="preserve">Real-bid evidence: </w:t>
            </w:r>
            <w:r>
              <w:rPr>
                <w:rFonts w:ascii="Calibri" w:hAnsi="Calibri"/>
                <w:b w:val="0"/>
                <w:i w:val="0"/>
                <w:color w:val="111111"/>
                <w:sz w:val="22"/>
              </w:rPr>
              <w:t>For each contract attach a completion certificate or contract extract, client contact with consent, contract value, scope, dates, bidder's role, and an explanation of similarity. The RFP requires at least five comparable contracts and permits reference checks.</w:t>
            </w:r>
          </w:p>
        </w:tc>
      </w:tr>
    </w:tbl>
    <w:p>
      <w:pPr>
        <w:spacing w:before="0" w:after="40" w:line="300" w:lineRule="auto"/>
      </w:pPr>
    </w:p>
    <w:p>
      <w:pPr>
        <w:pStyle w:val="Heading1"/>
        <w:keepNext/>
      </w:pPr>
      <w:r>
        <w:t>4. Organization and staffing logic</w:t>
      </w:r>
    </w:p>
    <w:p>
      <w:pPr>
        <w:spacing w:before="0" w:after="120" w:line="300" w:lineRule="auto"/>
      </w:pPr>
      <w:r>
        <w:rPr>
          <w:rFonts w:ascii="Calibri" w:hAnsi="Calibri"/>
          <w:b w:val="0"/>
          <w:i w:val="0"/>
          <w:color w:val="111111"/>
          <w:sz w:val="22"/>
        </w:rPr>
        <w:t>The seven scored key experts should remain visibly accountable. Non-key specialists support scope areas that the RFP demands but does not assign to a scored position.</w:t>
      </w:r>
    </w:p>
    <w:tbl>
      <w:tblPr>
        <w:tblStyle w:val="TableGrid"/>
        <w:tblW w:type="dxa" w:w="9360"/>
        <w:jc w:val="left"/>
        <w:tblLayout w:type="fixed"/>
        <w:tblLook w:firstColumn="1" w:firstRow="1" w:lastColumn="0" w:lastRow="0" w:noHBand="0" w:noVBand="1" w:val="04A0"/>
        <w:tblInd w:w="120" w:type="dxa"/>
      </w:tblPr>
      <w:tblGrid>
        <w:gridCol w:w="2500"/>
        <w:gridCol w:w="2500"/>
        <w:gridCol w:w="4360"/>
      </w:tblGrid>
      <w:tr>
        <w:trPr>
          <w:tblHeader w:val="true"/>
          <w:cantSplit/>
        </w:trPr>
        <w:tc>
          <w:tcPr>
            <w:tcW w:type="dxa" w:w="2500"/>
            <w:shd w:fill="18324A"/>
            <w:tcMar>
              <w:top w:w="80" w:type="dxa"/>
              <w:start w:w="120" w:type="dxa"/>
              <w:bottom w:w="80" w:type="dxa"/>
              <w:end w:w="120" w:type="dxa"/>
            </w:tcMar>
            <w:vAlign w:val="center"/>
          </w:tcPr>
          <w:p>
            <w:pPr>
              <w:spacing w:after="0"/>
              <w:jc w:val="center"/>
            </w:pPr>
            <w:r>
              <w:rPr>
                <w:rFonts w:ascii="Calibri" w:hAnsi="Calibri"/>
                <w:b/>
                <w:i w:val="0"/>
                <w:color w:val="FFFFFF"/>
                <w:sz w:val="17"/>
              </w:rPr>
              <w:t>Workstream</w:t>
            </w:r>
          </w:p>
        </w:tc>
        <w:tc>
          <w:tcPr>
            <w:tcW w:type="dxa" w:w="2500"/>
            <w:shd w:fill="18324A"/>
            <w:tcMar>
              <w:top w:w="80" w:type="dxa"/>
              <w:start w:w="120" w:type="dxa"/>
              <w:bottom w:w="80" w:type="dxa"/>
              <w:end w:w="120" w:type="dxa"/>
            </w:tcMar>
            <w:vAlign w:val="center"/>
          </w:tcPr>
          <w:p>
            <w:pPr>
              <w:spacing w:after="0"/>
              <w:jc w:val="center"/>
            </w:pPr>
            <w:r>
              <w:rPr>
                <w:rFonts w:ascii="Calibri" w:hAnsi="Calibri"/>
                <w:b/>
                <w:i w:val="0"/>
                <w:color w:val="FFFFFF"/>
                <w:sz w:val="17"/>
              </w:rPr>
              <w:t>Accountable key expert</w:t>
            </w:r>
          </w:p>
        </w:tc>
        <w:tc>
          <w:tcPr>
            <w:tcW w:type="dxa" w:w="4360"/>
            <w:shd w:fill="18324A"/>
            <w:tcMar>
              <w:top w:w="80" w:type="dxa"/>
              <w:start w:w="120" w:type="dxa"/>
              <w:bottom w:w="80" w:type="dxa"/>
              <w:end w:w="120" w:type="dxa"/>
            </w:tcMar>
            <w:vAlign w:val="center"/>
          </w:tcPr>
          <w:p>
            <w:pPr>
              <w:spacing w:after="0"/>
              <w:jc w:val="center"/>
            </w:pPr>
            <w:r>
              <w:rPr>
                <w:rFonts w:ascii="Calibri" w:hAnsi="Calibri"/>
                <w:b/>
                <w:i w:val="0"/>
                <w:color w:val="FFFFFF"/>
                <w:sz w:val="17"/>
              </w:rPr>
              <w:t>Support specialists</w:t>
            </w:r>
          </w:p>
        </w:tc>
      </w:tr>
      <w:tr>
        <w:trPr>
          <w:cantSplit/>
        </w:trPr>
        <w:tc>
          <w:tcPr>
            <w:tcW w:type="dxa" w:w="2500"/>
            <w:tcMar>
              <w:top w:w="80" w:type="dxa"/>
              <w:start w:w="120" w:type="dxa"/>
              <w:bottom w:w="80" w:type="dxa"/>
              <w:end w:w="120" w:type="dxa"/>
            </w:tcMar>
            <w:vAlign w:val="center"/>
          </w:tcPr>
          <w:p>
            <w:pPr>
              <w:spacing w:after="0" w:line="252" w:lineRule="auto"/>
            </w:pPr>
            <w:r>
              <w:rPr>
                <w:rFonts w:ascii="Calibri" w:hAnsi="Calibri"/>
                <w:b w:val="0"/>
                <w:i w:val="0"/>
                <w:color w:val="111111"/>
                <w:sz w:val="17"/>
              </w:rPr>
              <w:t>Governance, programme and stakeholder management</w:t>
            </w:r>
          </w:p>
        </w:tc>
        <w:tc>
          <w:tcPr>
            <w:tcW w:type="dxa" w:w="2500"/>
            <w:tcMar>
              <w:top w:w="80" w:type="dxa"/>
              <w:start w:w="120" w:type="dxa"/>
              <w:bottom w:w="80" w:type="dxa"/>
              <w:end w:w="120" w:type="dxa"/>
            </w:tcMar>
            <w:vAlign w:val="center"/>
          </w:tcPr>
          <w:p>
            <w:pPr>
              <w:spacing w:after="0" w:line="252" w:lineRule="auto"/>
            </w:pPr>
            <w:r>
              <w:rPr>
                <w:rFonts w:ascii="Calibri" w:hAnsi="Calibri"/>
                <w:b w:val="0"/>
                <w:i w:val="0"/>
                <w:color w:val="111111"/>
                <w:sz w:val="17"/>
              </w:rPr>
              <w:t>K-1 Rami Khoury</w:t>
            </w:r>
          </w:p>
        </w:tc>
        <w:tc>
          <w:tcPr>
            <w:tcW w:type="dxa" w:w="4360"/>
            <w:tcMar>
              <w:top w:w="80" w:type="dxa"/>
              <w:start w:w="120" w:type="dxa"/>
              <w:bottom w:w="80" w:type="dxa"/>
              <w:end w:w="120" w:type="dxa"/>
            </w:tcMar>
            <w:vAlign w:val="center"/>
          </w:tcPr>
          <w:p>
            <w:pPr>
              <w:spacing w:after="0" w:line="252" w:lineRule="auto"/>
            </w:pPr>
            <w:r>
              <w:rPr>
                <w:rFonts w:ascii="Calibri" w:hAnsi="Calibri"/>
                <w:b w:val="0"/>
                <w:i w:val="0"/>
                <w:color w:val="111111"/>
                <w:sz w:val="17"/>
              </w:rPr>
              <w:t>Contract/procurement specialist; project controls planner; document controller</w:t>
            </w:r>
          </w:p>
        </w:tc>
      </w:tr>
      <w:tr>
        <w:trPr>
          <w:cantSplit/>
        </w:trPr>
        <w:tc>
          <w:tcPr>
            <w:tcW w:type="dxa" w:w="25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7"/>
              </w:rPr>
              <w:t>Architecture and sustainability</w:t>
            </w:r>
          </w:p>
        </w:tc>
        <w:tc>
          <w:tcPr>
            <w:tcW w:type="dxa" w:w="25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7"/>
              </w:rPr>
              <w:t>K-2 Maya Haddad</w:t>
            </w:r>
          </w:p>
        </w:tc>
        <w:tc>
          <w:tcPr>
            <w:tcW w:type="dxa" w:w="43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7"/>
              </w:rPr>
              <w:t>Sustainability/climate-resilience specialist; BIM coordinator</w:t>
            </w:r>
          </w:p>
        </w:tc>
      </w:tr>
      <w:tr>
        <w:trPr>
          <w:cantSplit/>
        </w:trPr>
        <w:tc>
          <w:tcPr>
            <w:tcW w:type="dxa" w:w="2500"/>
            <w:tcMar>
              <w:top w:w="80" w:type="dxa"/>
              <w:start w:w="120" w:type="dxa"/>
              <w:bottom w:w="80" w:type="dxa"/>
              <w:end w:w="120" w:type="dxa"/>
            </w:tcMar>
            <w:vAlign w:val="center"/>
          </w:tcPr>
          <w:p>
            <w:pPr>
              <w:spacing w:after="0" w:line="252" w:lineRule="auto"/>
            </w:pPr>
            <w:r>
              <w:rPr>
                <w:rFonts w:ascii="Calibri" w:hAnsi="Calibri"/>
                <w:b w:val="0"/>
                <w:i w:val="0"/>
                <w:color w:val="111111"/>
                <w:sz w:val="17"/>
              </w:rPr>
              <w:t>Structural and civil</w:t>
            </w:r>
          </w:p>
        </w:tc>
        <w:tc>
          <w:tcPr>
            <w:tcW w:type="dxa" w:w="2500"/>
            <w:tcMar>
              <w:top w:w="80" w:type="dxa"/>
              <w:start w:w="120" w:type="dxa"/>
              <w:bottom w:w="80" w:type="dxa"/>
              <w:end w:w="120" w:type="dxa"/>
            </w:tcMar>
            <w:vAlign w:val="center"/>
          </w:tcPr>
          <w:p>
            <w:pPr>
              <w:spacing w:after="0" w:line="252" w:lineRule="auto"/>
            </w:pPr>
            <w:r>
              <w:rPr>
                <w:rFonts w:ascii="Calibri" w:hAnsi="Calibri"/>
                <w:b w:val="0"/>
                <w:i w:val="0"/>
                <w:color w:val="111111"/>
                <w:sz w:val="17"/>
              </w:rPr>
              <w:t>K-3 Emmanuel Wreh</w:t>
            </w:r>
          </w:p>
        </w:tc>
        <w:tc>
          <w:tcPr>
            <w:tcW w:type="dxa" w:w="4360"/>
            <w:tcMar>
              <w:top w:w="80" w:type="dxa"/>
              <w:start w:w="120" w:type="dxa"/>
              <w:bottom w:w="80" w:type="dxa"/>
              <w:end w:w="120" w:type="dxa"/>
            </w:tcMar>
            <w:vAlign w:val="center"/>
          </w:tcPr>
          <w:p>
            <w:pPr>
              <w:spacing w:after="0" w:line="252" w:lineRule="auto"/>
            </w:pPr>
            <w:r>
              <w:rPr>
                <w:rFonts w:ascii="Calibri" w:hAnsi="Calibri"/>
                <w:b w:val="0"/>
                <w:i w:val="0"/>
                <w:color w:val="111111"/>
                <w:sz w:val="17"/>
              </w:rPr>
              <w:t>Geotechnical/civil infrastructure specialist; BIM modeller</w:t>
            </w:r>
          </w:p>
        </w:tc>
      </w:tr>
      <w:tr>
        <w:trPr>
          <w:cantSplit/>
        </w:trPr>
        <w:tc>
          <w:tcPr>
            <w:tcW w:type="dxa" w:w="25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7"/>
              </w:rPr>
              <w:t>MEP, power and cooling</w:t>
            </w:r>
          </w:p>
        </w:tc>
        <w:tc>
          <w:tcPr>
            <w:tcW w:type="dxa" w:w="25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7"/>
              </w:rPr>
              <w:t>K-4 Nadine Ghosn</w:t>
            </w:r>
          </w:p>
        </w:tc>
        <w:tc>
          <w:tcPr>
            <w:tcW w:type="dxa" w:w="43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7"/>
              </w:rPr>
              <w:t>Mechanical/HVAC engineer; electrical engineer; commissioning authority</w:t>
            </w:r>
          </w:p>
        </w:tc>
      </w:tr>
      <w:tr>
        <w:trPr>
          <w:cantSplit/>
        </w:trPr>
        <w:tc>
          <w:tcPr>
            <w:tcW w:type="dxa" w:w="2500"/>
            <w:tcMar>
              <w:top w:w="80" w:type="dxa"/>
              <w:start w:w="120" w:type="dxa"/>
              <w:bottom w:w="80" w:type="dxa"/>
              <w:end w:w="120" w:type="dxa"/>
            </w:tcMar>
            <w:vAlign w:val="center"/>
          </w:tcPr>
          <w:p>
            <w:pPr>
              <w:spacing w:after="0" w:line="252" w:lineRule="auto"/>
            </w:pPr>
            <w:r>
              <w:rPr>
                <w:rFonts w:ascii="Calibri" w:hAnsi="Calibri"/>
                <w:b w:val="0"/>
                <w:i w:val="0"/>
                <w:color w:val="111111"/>
                <w:sz w:val="17"/>
              </w:rPr>
              <w:t>Site execution and contract administration</w:t>
            </w:r>
          </w:p>
        </w:tc>
        <w:tc>
          <w:tcPr>
            <w:tcW w:type="dxa" w:w="2500"/>
            <w:tcMar>
              <w:top w:w="80" w:type="dxa"/>
              <w:start w:w="120" w:type="dxa"/>
              <w:bottom w:w="80" w:type="dxa"/>
              <w:end w:w="120" w:type="dxa"/>
            </w:tcMar>
            <w:vAlign w:val="center"/>
          </w:tcPr>
          <w:p>
            <w:pPr>
              <w:spacing w:after="0" w:line="252" w:lineRule="auto"/>
            </w:pPr>
            <w:r>
              <w:rPr>
                <w:rFonts w:ascii="Calibri" w:hAnsi="Calibri"/>
                <w:b w:val="0"/>
                <w:i w:val="0"/>
                <w:color w:val="111111"/>
                <w:sz w:val="17"/>
              </w:rPr>
              <w:t>K-5 Samuel Kpadeh</w:t>
            </w:r>
          </w:p>
        </w:tc>
        <w:tc>
          <w:tcPr>
            <w:tcW w:type="dxa" w:w="4360"/>
            <w:tcMar>
              <w:top w:w="80" w:type="dxa"/>
              <w:start w:w="120" w:type="dxa"/>
              <w:bottom w:w="80" w:type="dxa"/>
              <w:end w:w="120" w:type="dxa"/>
            </w:tcMar>
            <w:vAlign w:val="center"/>
          </w:tcPr>
          <w:p>
            <w:pPr>
              <w:spacing w:after="0" w:line="252" w:lineRule="auto"/>
            </w:pPr>
            <w:r>
              <w:rPr>
                <w:rFonts w:ascii="Calibri" w:hAnsi="Calibri"/>
                <w:b w:val="0"/>
                <w:i w:val="0"/>
                <w:color w:val="111111"/>
                <w:sz w:val="17"/>
              </w:rPr>
              <w:t>Resident inspectors; quantity surveyor/cost engineer; EHS specialist</w:t>
            </w:r>
          </w:p>
        </w:tc>
      </w:tr>
      <w:tr>
        <w:trPr>
          <w:cantSplit/>
        </w:trPr>
        <w:tc>
          <w:tcPr>
            <w:tcW w:type="dxa" w:w="25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7"/>
              </w:rPr>
              <w:t>Quality assurance and testing</w:t>
            </w:r>
          </w:p>
        </w:tc>
        <w:tc>
          <w:tcPr>
            <w:tcW w:type="dxa" w:w="25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7"/>
              </w:rPr>
              <w:t>K-6 Grace Kollie</w:t>
            </w:r>
          </w:p>
        </w:tc>
        <w:tc>
          <w:tcPr>
            <w:tcW w:type="dxa" w:w="43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7"/>
              </w:rPr>
              <w:t>Materials/testing inspector; commissioning authority</w:t>
            </w:r>
          </w:p>
        </w:tc>
      </w:tr>
      <w:tr>
        <w:trPr>
          <w:cantSplit/>
        </w:trPr>
        <w:tc>
          <w:tcPr>
            <w:tcW w:type="dxa" w:w="2500"/>
            <w:tcMar>
              <w:top w:w="80" w:type="dxa"/>
              <w:start w:w="120" w:type="dxa"/>
              <w:bottom w:w="80" w:type="dxa"/>
              <w:end w:w="120" w:type="dxa"/>
            </w:tcMar>
            <w:vAlign w:val="center"/>
          </w:tcPr>
          <w:p>
            <w:pPr>
              <w:spacing w:after="0" w:line="252" w:lineRule="auto"/>
            </w:pPr>
            <w:r>
              <w:rPr>
                <w:rFonts w:ascii="Calibri" w:hAnsi="Calibri"/>
                <w:b w:val="0"/>
                <w:i w:val="0"/>
                <w:color w:val="111111"/>
                <w:sz w:val="17"/>
              </w:rPr>
              <w:t>Physical security, cyber and ICT/data center</w:t>
            </w:r>
          </w:p>
        </w:tc>
        <w:tc>
          <w:tcPr>
            <w:tcW w:type="dxa" w:w="2500"/>
            <w:tcMar>
              <w:top w:w="80" w:type="dxa"/>
              <w:start w:w="120" w:type="dxa"/>
              <w:bottom w:w="80" w:type="dxa"/>
              <w:end w:w="120" w:type="dxa"/>
            </w:tcMar>
            <w:vAlign w:val="center"/>
          </w:tcPr>
          <w:p>
            <w:pPr>
              <w:spacing w:after="0" w:line="252" w:lineRule="auto"/>
            </w:pPr>
            <w:r>
              <w:rPr>
                <w:rFonts w:ascii="Calibri" w:hAnsi="Calibri"/>
                <w:b w:val="0"/>
                <w:i w:val="0"/>
                <w:color w:val="111111"/>
                <w:sz w:val="17"/>
              </w:rPr>
              <w:t>K-7 Karim Nassar</w:t>
            </w:r>
          </w:p>
        </w:tc>
        <w:tc>
          <w:tcPr>
            <w:tcW w:type="dxa" w:w="4360"/>
            <w:tcMar>
              <w:top w:w="80" w:type="dxa"/>
              <w:start w:w="120" w:type="dxa"/>
              <w:bottom w:w="80" w:type="dxa"/>
              <w:end w:w="120" w:type="dxa"/>
            </w:tcMar>
            <w:vAlign w:val="center"/>
          </w:tcPr>
          <w:p>
            <w:pPr>
              <w:spacing w:after="0" w:line="252" w:lineRule="auto"/>
            </w:pPr>
            <w:r>
              <w:rPr>
                <w:rFonts w:ascii="Calibri" w:hAnsi="Calibri"/>
                <w:b w:val="0"/>
                <w:i w:val="0"/>
                <w:color w:val="111111"/>
                <w:sz w:val="17"/>
              </w:rPr>
              <w:t>ICT/data-center engineer; ELV/security designer</w:t>
            </w:r>
          </w:p>
        </w:tc>
      </w:tr>
    </w:tbl>
    <w:p>
      <w:pPr>
        <w:spacing w:before="0" w:after="40" w:line="300" w:lineRule="auto"/>
      </w:pPr>
    </w:p>
    <w:p>
      <w:pPr>
        <w:pStyle w:val="Heading2"/>
        <w:keepNext/>
      </w:pPr>
      <w:r>
        <w:t>Illustrative deployment</w:t>
      </w:r>
    </w:p>
    <w:tbl>
      <w:tblPr>
        <w:tblStyle w:val="TableGrid"/>
        <w:tblW w:type="dxa" w:w="9360"/>
        <w:jc w:val="left"/>
        <w:tblLayout w:type="fixed"/>
        <w:tblLook w:firstColumn="1" w:firstRow="1" w:lastColumn="0" w:lastRow="0" w:noHBand="0" w:noVBand="1" w:val="04A0"/>
        <w:tblInd w:w="120" w:type="dxa"/>
      </w:tblPr>
      <w:tblGrid>
        <w:gridCol w:w="1500"/>
        <w:gridCol w:w="1200"/>
        <w:gridCol w:w="3360"/>
        <w:gridCol w:w="3300"/>
      </w:tblGrid>
      <w:tr>
        <w:trPr>
          <w:tblHeader w:val="true"/>
          <w:cantSplit/>
        </w:trPr>
        <w:tc>
          <w:tcPr>
            <w:tcW w:type="dxa" w:w="1500"/>
            <w:shd w:fill="18324A"/>
            <w:tcMar>
              <w:top w:w="80" w:type="dxa"/>
              <w:start w:w="120" w:type="dxa"/>
              <w:bottom w:w="80" w:type="dxa"/>
              <w:end w:w="120" w:type="dxa"/>
            </w:tcMar>
            <w:vAlign w:val="center"/>
          </w:tcPr>
          <w:p>
            <w:pPr>
              <w:spacing w:after="0"/>
              <w:jc w:val="center"/>
            </w:pPr>
            <w:r>
              <w:rPr>
                <w:rFonts w:ascii="Calibri" w:hAnsi="Calibri"/>
                <w:b/>
                <w:i w:val="0"/>
                <w:color w:val="FFFFFF"/>
                <w:sz w:val="16"/>
              </w:rPr>
              <w:t>Phase</w:t>
            </w:r>
          </w:p>
        </w:tc>
        <w:tc>
          <w:tcPr>
            <w:tcW w:type="dxa" w:w="1200"/>
            <w:shd w:fill="18324A"/>
            <w:tcMar>
              <w:top w:w="80" w:type="dxa"/>
              <w:start w:w="120" w:type="dxa"/>
              <w:bottom w:w="80" w:type="dxa"/>
              <w:end w:w="120" w:type="dxa"/>
            </w:tcMar>
            <w:vAlign w:val="center"/>
          </w:tcPr>
          <w:p>
            <w:pPr>
              <w:spacing w:after="0"/>
              <w:jc w:val="center"/>
            </w:pPr>
            <w:r>
              <w:rPr>
                <w:rFonts w:ascii="Calibri" w:hAnsi="Calibri"/>
                <w:b/>
                <w:i w:val="0"/>
                <w:color w:val="FFFFFF"/>
                <w:sz w:val="16"/>
              </w:rPr>
              <w:t>Likely duration</w:t>
            </w:r>
          </w:p>
        </w:tc>
        <w:tc>
          <w:tcPr>
            <w:tcW w:type="dxa" w:w="3360"/>
            <w:shd w:fill="18324A"/>
            <w:tcMar>
              <w:top w:w="80" w:type="dxa"/>
              <w:start w:w="120" w:type="dxa"/>
              <w:bottom w:w="80" w:type="dxa"/>
              <w:end w:w="120" w:type="dxa"/>
            </w:tcMar>
            <w:vAlign w:val="center"/>
          </w:tcPr>
          <w:p>
            <w:pPr>
              <w:spacing w:after="0"/>
              <w:jc w:val="center"/>
            </w:pPr>
            <w:r>
              <w:rPr>
                <w:rFonts w:ascii="Calibri" w:hAnsi="Calibri"/>
                <w:b/>
                <w:i w:val="0"/>
                <w:color w:val="FFFFFF"/>
                <w:sz w:val="16"/>
              </w:rPr>
              <w:t>Full-time / resident emphasis</w:t>
            </w:r>
          </w:p>
        </w:tc>
        <w:tc>
          <w:tcPr>
            <w:tcW w:type="dxa" w:w="3300"/>
            <w:shd w:fill="18324A"/>
            <w:tcMar>
              <w:top w:w="80" w:type="dxa"/>
              <w:start w:w="120" w:type="dxa"/>
              <w:bottom w:w="80" w:type="dxa"/>
              <w:end w:w="120" w:type="dxa"/>
            </w:tcMar>
            <w:vAlign w:val="center"/>
          </w:tcPr>
          <w:p>
            <w:pPr>
              <w:spacing w:after="0"/>
              <w:jc w:val="center"/>
            </w:pPr>
            <w:r>
              <w:rPr>
                <w:rFonts w:ascii="Calibri" w:hAnsi="Calibri"/>
                <w:b/>
                <w:i w:val="0"/>
                <w:color w:val="FFFFFF"/>
                <w:sz w:val="16"/>
              </w:rPr>
              <w:t>Intermittent inputs</w:t>
            </w:r>
          </w:p>
        </w:tc>
      </w:tr>
      <w:tr>
        <w:trPr>
          <w:cantSplit/>
        </w:trPr>
        <w:tc>
          <w:tcPr>
            <w:tcW w:type="dxa" w:w="1500"/>
            <w:tcMar>
              <w:top w:w="80" w:type="dxa"/>
              <w:start w:w="120" w:type="dxa"/>
              <w:bottom w:w="80" w:type="dxa"/>
              <w:end w:w="120" w:type="dxa"/>
            </w:tcMar>
            <w:vAlign w:val="center"/>
          </w:tcPr>
          <w:p>
            <w:pPr>
              <w:spacing w:after="0" w:line="252" w:lineRule="auto"/>
            </w:pPr>
            <w:r>
              <w:rPr>
                <w:rFonts w:ascii="Calibri" w:hAnsi="Calibri"/>
                <w:b w:val="0"/>
                <w:i w:val="0"/>
                <w:color w:val="111111"/>
                <w:sz w:val="16"/>
              </w:rPr>
              <w:t>0 Inception</w:t>
            </w:r>
          </w:p>
        </w:tc>
        <w:tc>
          <w:tcPr>
            <w:tcW w:type="dxa" w:w="1200"/>
            <w:tcMar>
              <w:top w:w="80" w:type="dxa"/>
              <w:start w:w="120" w:type="dxa"/>
              <w:bottom w:w="80" w:type="dxa"/>
              <w:end w:w="120" w:type="dxa"/>
            </w:tcMar>
            <w:vAlign w:val="center"/>
          </w:tcPr>
          <w:p>
            <w:pPr>
              <w:spacing w:after="0" w:line="252" w:lineRule="auto"/>
            </w:pPr>
            <w:r>
              <w:rPr>
                <w:rFonts w:ascii="Calibri" w:hAnsi="Calibri"/>
                <w:b w:val="0"/>
                <w:i w:val="0"/>
                <w:color w:val="111111"/>
                <w:sz w:val="16"/>
              </w:rPr>
              <w:t>4 weeks</w:t>
            </w:r>
          </w:p>
        </w:tc>
        <w:tc>
          <w:tcPr>
            <w:tcW w:type="dxa" w:w="3360"/>
            <w:tcMar>
              <w:top w:w="80" w:type="dxa"/>
              <w:start w:w="120" w:type="dxa"/>
              <w:bottom w:w="80" w:type="dxa"/>
              <w:end w:w="120" w:type="dxa"/>
            </w:tcMar>
            <w:vAlign w:val="center"/>
          </w:tcPr>
          <w:p>
            <w:pPr>
              <w:spacing w:after="0" w:line="252" w:lineRule="auto"/>
            </w:pPr>
            <w:r>
              <w:rPr>
                <w:rFonts w:ascii="Calibri" w:hAnsi="Calibri"/>
                <w:b w:val="0"/>
                <w:i w:val="0"/>
                <w:color w:val="111111"/>
                <w:sz w:val="16"/>
              </w:rPr>
              <w:t>K-1; stakeholder/local coordination</w:t>
            </w:r>
          </w:p>
        </w:tc>
        <w:tc>
          <w:tcPr>
            <w:tcW w:type="dxa" w:w="3300"/>
            <w:tcMar>
              <w:top w:w="80" w:type="dxa"/>
              <w:start w:w="120" w:type="dxa"/>
              <w:bottom w:w="80" w:type="dxa"/>
              <w:end w:w="120" w:type="dxa"/>
            </w:tcMar>
            <w:vAlign w:val="center"/>
          </w:tcPr>
          <w:p>
            <w:pPr>
              <w:spacing w:after="0" w:line="252" w:lineRule="auto"/>
            </w:pPr>
            <w:r>
              <w:rPr>
                <w:rFonts w:ascii="Calibri" w:hAnsi="Calibri"/>
                <w:b w:val="0"/>
                <w:i w:val="0"/>
                <w:color w:val="111111"/>
                <w:sz w:val="16"/>
              </w:rPr>
              <w:t>All key experts for baseline and design criteria</w:t>
            </w:r>
          </w:p>
        </w:tc>
      </w:tr>
      <w:tr>
        <w:trPr>
          <w:cantSplit/>
        </w:trPr>
        <w:tc>
          <w:tcPr>
            <w:tcW w:type="dxa" w:w="15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1 Design</w:t>
            </w:r>
          </w:p>
        </w:tc>
        <w:tc>
          <w:tcPr>
            <w:tcW w:type="dxa" w:w="12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16-20 weeks</w:t>
            </w:r>
          </w:p>
        </w:tc>
        <w:tc>
          <w:tcPr>
            <w:tcW w:type="dxa" w:w="33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K-1; K-2; document control/BIM</w:t>
            </w:r>
          </w:p>
        </w:tc>
        <w:tc>
          <w:tcPr>
            <w:tcW w:type="dxa" w:w="33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K-3, K-4, K-7, cost, sustainability and procurement specialists</w:t>
            </w:r>
          </w:p>
        </w:tc>
      </w:tr>
      <w:tr>
        <w:trPr>
          <w:cantSplit/>
        </w:trPr>
        <w:tc>
          <w:tcPr>
            <w:tcW w:type="dxa" w:w="1500"/>
            <w:tcMar>
              <w:top w:w="80" w:type="dxa"/>
              <w:start w:w="120" w:type="dxa"/>
              <w:bottom w:w="80" w:type="dxa"/>
              <w:end w:w="120" w:type="dxa"/>
            </w:tcMar>
            <w:vAlign w:val="center"/>
          </w:tcPr>
          <w:p>
            <w:pPr>
              <w:spacing w:after="0" w:line="252" w:lineRule="auto"/>
            </w:pPr>
            <w:r>
              <w:rPr>
                <w:rFonts w:ascii="Calibri" w:hAnsi="Calibri"/>
                <w:b w:val="0"/>
                <w:i w:val="0"/>
                <w:color w:val="111111"/>
                <w:sz w:val="16"/>
              </w:rPr>
              <w:t>2 Tender / award</w:t>
            </w:r>
          </w:p>
        </w:tc>
        <w:tc>
          <w:tcPr>
            <w:tcW w:type="dxa" w:w="1200"/>
            <w:tcMar>
              <w:top w:w="80" w:type="dxa"/>
              <w:start w:w="120" w:type="dxa"/>
              <w:bottom w:w="80" w:type="dxa"/>
              <w:end w:w="120" w:type="dxa"/>
            </w:tcMar>
            <w:vAlign w:val="center"/>
          </w:tcPr>
          <w:p>
            <w:pPr>
              <w:spacing w:after="0" w:line="252" w:lineRule="auto"/>
            </w:pPr>
            <w:r>
              <w:rPr>
                <w:rFonts w:ascii="Calibri" w:hAnsi="Calibri"/>
                <w:b w:val="0"/>
                <w:i w:val="0"/>
                <w:color w:val="111111"/>
                <w:sz w:val="16"/>
              </w:rPr>
              <w:t>10-12 weeks</w:t>
            </w:r>
          </w:p>
        </w:tc>
        <w:tc>
          <w:tcPr>
            <w:tcW w:type="dxa" w:w="3360"/>
            <w:tcMar>
              <w:top w:w="80" w:type="dxa"/>
              <w:start w:w="120" w:type="dxa"/>
              <w:bottom w:w="80" w:type="dxa"/>
              <w:end w:w="120" w:type="dxa"/>
            </w:tcMar>
            <w:vAlign w:val="center"/>
          </w:tcPr>
          <w:p>
            <w:pPr>
              <w:spacing w:after="0" w:line="252" w:lineRule="auto"/>
            </w:pPr>
            <w:r>
              <w:rPr>
                <w:rFonts w:ascii="Calibri" w:hAnsi="Calibri"/>
                <w:b w:val="0"/>
                <w:i w:val="0"/>
                <w:color w:val="111111"/>
                <w:sz w:val="16"/>
              </w:rPr>
              <w:t>K-1; procurement/contract; cost engineer</w:t>
            </w:r>
          </w:p>
        </w:tc>
        <w:tc>
          <w:tcPr>
            <w:tcW w:type="dxa" w:w="3300"/>
            <w:tcMar>
              <w:top w:w="80" w:type="dxa"/>
              <w:start w:w="120" w:type="dxa"/>
              <w:bottom w:w="80" w:type="dxa"/>
              <w:end w:w="120" w:type="dxa"/>
            </w:tcMar>
            <w:vAlign w:val="center"/>
          </w:tcPr>
          <w:p>
            <w:pPr>
              <w:spacing w:after="0" w:line="252" w:lineRule="auto"/>
            </w:pPr>
            <w:r>
              <w:rPr>
                <w:rFonts w:ascii="Calibri" w:hAnsi="Calibri"/>
                <w:b w:val="0"/>
                <w:i w:val="0"/>
                <w:color w:val="111111"/>
                <w:sz w:val="16"/>
              </w:rPr>
              <w:t>Discipline experts for clarifications and evaluation</w:t>
            </w:r>
          </w:p>
        </w:tc>
      </w:tr>
      <w:tr>
        <w:trPr>
          <w:cantSplit/>
        </w:trPr>
        <w:tc>
          <w:tcPr>
            <w:tcW w:type="dxa" w:w="15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3 Construction</w:t>
            </w:r>
          </w:p>
        </w:tc>
        <w:tc>
          <w:tcPr>
            <w:tcW w:type="dxa" w:w="12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Approx. 24 months</w:t>
            </w:r>
          </w:p>
        </w:tc>
        <w:tc>
          <w:tcPr>
            <w:tcW w:type="dxa" w:w="33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K-5; K-6; resident inspectors; EHS; document control</w:t>
            </w:r>
          </w:p>
        </w:tc>
        <w:tc>
          <w:tcPr>
            <w:tcW w:type="dxa" w:w="33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K-1 and designers at milestones; K-7 during ICT/security installation</w:t>
            </w:r>
          </w:p>
        </w:tc>
      </w:tr>
      <w:tr>
        <w:trPr>
          <w:cantSplit/>
        </w:trPr>
        <w:tc>
          <w:tcPr>
            <w:tcW w:type="dxa" w:w="1500"/>
            <w:tcMar>
              <w:top w:w="80" w:type="dxa"/>
              <w:start w:w="120" w:type="dxa"/>
              <w:bottom w:w="80" w:type="dxa"/>
              <w:end w:w="120" w:type="dxa"/>
            </w:tcMar>
            <w:vAlign w:val="center"/>
          </w:tcPr>
          <w:p>
            <w:pPr>
              <w:spacing w:after="0" w:line="252" w:lineRule="auto"/>
            </w:pPr>
            <w:r>
              <w:rPr>
                <w:rFonts w:ascii="Calibri" w:hAnsi="Calibri"/>
                <w:b w:val="0"/>
                <w:i w:val="0"/>
                <w:color w:val="111111"/>
                <w:sz w:val="16"/>
              </w:rPr>
              <w:t>Commissioning / handover</w:t>
            </w:r>
          </w:p>
        </w:tc>
        <w:tc>
          <w:tcPr>
            <w:tcW w:type="dxa" w:w="1200"/>
            <w:tcMar>
              <w:top w:w="80" w:type="dxa"/>
              <w:start w:w="120" w:type="dxa"/>
              <w:bottom w:w="80" w:type="dxa"/>
              <w:end w:w="120" w:type="dxa"/>
            </w:tcMar>
            <w:vAlign w:val="center"/>
          </w:tcPr>
          <w:p>
            <w:pPr>
              <w:spacing w:after="0" w:line="252" w:lineRule="auto"/>
            </w:pPr>
            <w:r>
              <w:rPr>
                <w:rFonts w:ascii="Calibri" w:hAnsi="Calibri"/>
                <w:b w:val="0"/>
                <w:i w:val="0"/>
                <w:color w:val="111111"/>
                <w:sz w:val="16"/>
              </w:rPr>
              <w:t>2-3 months</w:t>
            </w:r>
          </w:p>
        </w:tc>
        <w:tc>
          <w:tcPr>
            <w:tcW w:type="dxa" w:w="3360"/>
            <w:tcMar>
              <w:top w:w="80" w:type="dxa"/>
              <w:start w:w="120" w:type="dxa"/>
              <w:bottom w:w="80" w:type="dxa"/>
              <w:end w:w="120" w:type="dxa"/>
            </w:tcMar>
            <w:vAlign w:val="center"/>
          </w:tcPr>
          <w:p>
            <w:pPr>
              <w:spacing w:after="0" w:line="252" w:lineRule="auto"/>
            </w:pPr>
            <w:r>
              <w:rPr>
                <w:rFonts w:ascii="Calibri" w:hAnsi="Calibri"/>
                <w:b w:val="0"/>
                <w:i w:val="0"/>
                <w:color w:val="111111"/>
                <w:sz w:val="16"/>
              </w:rPr>
              <w:t>K-5; K-6; commissioning authority; K-7</w:t>
            </w:r>
          </w:p>
        </w:tc>
        <w:tc>
          <w:tcPr>
            <w:tcW w:type="dxa" w:w="3300"/>
            <w:tcMar>
              <w:top w:w="80" w:type="dxa"/>
              <w:start w:w="120" w:type="dxa"/>
              <w:bottom w:w="80" w:type="dxa"/>
              <w:end w:w="120" w:type="dxa"/>
            </w:tcMar>
            <w:vAlign w:val="center"/>
          </w:tcPr>
          <w:p>
            <w:pPr>
              <w:spacing w:after="0" w:line="252" w:lineRule="auto"/>
            </w:pPr>
            <w:r>
              <w:rPr>
                <w:rFonts w:ascii="Calibri" w:hAnsi="Calibri"/>
                <w:b w:val="0"/>
                <w:i w:val="0"/>
                <w:color w:val="111111"/>
                <w:sz w:val="16"/>
              </w:rPr>
              <w:t>K-1 to K-4 for acceptance and as-builts</w:t>
            </w:r>
          </w:p>
        </w:tc>
      </w:tr>
      <w:tr>
        <w:trPr>
          <w:cantSplit/>
        </w:trPr>
        <w:tc>
          <w:tcPr>
            <w:tcW w:type="dxa" w:w="15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4 DLP</w:t>
            </w:r>
          </w:p>
        </w:tc>
        <w:tc>
          <w:tcPr>
            <w:tcW w:type="dxa" w:w="12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12 months</w:t>
            </w:r>
          </w:p>
        </w:tc>
        <w:tc>
          <w:tcPr>
            <w:tcW w:type="dxa" w:w="33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Scheduled inspections / defect tracker</w:t>
            </w:r>
          </w:p>
        </w:tc>
        <w:tc>
          <w:tcPr>
            <w:tcW w:type="dxa" w:w="33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Relevant designers and K-1 for final acceptance</w:t>
            </w:r>
          </w:p>
        </w:tc>
      </w:tr>
    </w:tbl>
    <w:p>
      <w:pPr>
        <w:spacing w:before="0" w:after="40" w:line="300" w:lineRule="auto"/>
      </w:pPr>
    </w:p>
    <w:p>
      <w:pPr>
        <w:spacing w:before="0" w:after="120" w:line="300" w:lineRule="auto"/>
      </w:pPr>
      <w:r>
        <w:rPr>
          <w:rFonts w:ascii="Calibri" w:hAnsi="Calibri"/>
          <w:b w:val="0"/>
          <w:i/>
          <w:color w:val="9B1C1C"/>
          <w:sz w:val="19"/>
        </w:rPr>
        <w:t>The actual person-month schedule must reconcile with the 36-month maximum, the 12-month DLP, deliverable dates, the financial proposal and the statement that experts will be stationed in Liberia at every project phase.</w:t>
      </w:r>
    </w:p>
    <w:p>
      <w:r>
        <w:br w:type="page"/>
      </w:r>
    </w:p>
    <w:p>
      <w:pPr>
        <w:spacing w:before="0" w:after="40" w:line="300" w:lineRule="auto"/>
      </w:pPr>
      <w:r>
        <w:rPr>
          <w:rFonts w:ascii="Calibri" w:hAnsi="Calibri"/>
          <w:b/>
          <w:i w:val="0"/>
          <w:color w:val="167D8D"/>
          <w:sz w:val="18"/>
        </w:rPr>
        <w:t>CURRICULUM VITAE | KEY EXPERT</w:t>
      </w:r>
    </w:p>
    <w:p>
      <w:pPr>
        <w:spacing w:before="0" w:after="40" w:line="300" w:lineRule="auto"/>
      </w:pPr>
      <w:r>
        <w:rPr>
          <w:rFonts w:ascii="Calibri" w:hAnsi="Calibri"/>
          <w:b/>
          <w:i w:val="0"/>
          <w:color w:val="18324A"/>
          <w:sz w:val="44"/>
        </w:rPr>
        <w:t>Dr. Rami Khoury</w:t>
      </w:r>
    </w:p>
    <w:p>
      <w:pPr>
        <w:spacing w:before="0" w:after="200" w:line="300" w:lineRule="auto"/>
      </w:pPr>
      <w:r>
        <w:rPr>
          <w:rFonts w:ascii="Calibri" w:hAnsi="Calibri"/>
          <w:b/>
          <w:i w:val="0"/>
          <w:color w:val="2E74B5"/>
          <w:sz w:val="26"/>
        </w:rPr>
        <w:t>K-1 - Overall Team Leader / Project Director</w:t>
      </w:r>
    </w:p>
    <w:tbl>
      <w:tblPr>
        <w:tblStyle w:val="TableGrid"/>
        <w:tblW w:type="dxa" w:w="9360"/>
        <w:jc w:val="left"/>
        <w:tblLayout w:type="fixed"/>
        <w:tblLook w:firstColumn="1" w:firstRow="1" w:lastColumn="0" w:lastRow="0" w:noHBand="0" w:noVBand="1" w:val="04A0"/>
        <w:tblInd w:w="120" w:type="dxa"/>
      </w:tblPr>
      <w:tblGrid>
        <w:gridCol w:w="2200"/>
        <w:gridCol w:w="7160"/>
      </w:tblGrid>
      <w:tr>
        <w:trPr>
          <w:tblHeader w:val="true"/>
          <w:cantSplit/>
        </w:trPr>
        <w:tc>
          <w:tcPr>
            <w:tcW w:type="dxa" w:w="2200"/>
            <w:shd w:fill="18324A"/>
            <w:tcMar>
              <w:top w:w="80" w:type="dxa"/>
              <w:start w:w="120" w:type="dxa"/>
              <w:bottom w:w="80" w:type="dxa"/>
              <w:end w:w="120" w:type="dxa"/>
            </w:tcMar>
            <w:vAlign w:val="center"/>
          </w:tcPr>
          <w:p>
            <w:pPr>
              <w:spacing w:after="0"/>
              <w:jc w:val="center"/>
            </w:pPr>
            <w:r>
              <w:rPr>
                <w:rFonts w:ascii="Calibri" w:hAnsi="Calibri"/>
                <w:b/>
                <w:i w:val="0"/>
                <w:color w:val="FFFFFF"/>
                <w:sz w:val="19"/>
              </w:rPr>
              <w:t>Field</w:t>
            </w:r>
          </w:p>
        </w:tc>
        <w:tc>
          <w:tcPr>
            <w:tcW w:type="dxa" w:w="7160"/>
            <w:shd w:fill="18324A"/>
            <w:tcMar>
              <w:top w:w="80" w:type="dxa"/>
              <w:start w:w="120" w:type="dxa"/>
              <w:bottom w:w="80" w:type="dxa"/>
              <w:end w:w="120" w:type="dxa"/>
            </w:tcMar>
            <w:vAlign w:val="center"/>
          </w:tcPr>
          <w:p>
            <w:pPr>
              <w:spacing w:after="0"/>
              <w:jc w:val="center"/>
            </w:pPr>
            <w:r>
              <w:rPr>
                <w:rFonts w:ascii="Calibri" w:hAnsi="Calibri"/>
                <w:b/>
                <w:i w:val="0"/>
                <w:color w:val="FFFFFF"/>
                <w:sz w:val="19"/>
              </w:rPr>
              <w:t>Details</w:t>
            </w:r>
          </w:p>
        </w:tc>
      </w:tr>
      <w:tr>
        <w:trPr>
          <w:cantSplit/>
        </w:trPr>
        <w:tc>
          <w:tcPr>
            <w:tcW w:type="dxa" w:w="2200"/>
            <w:tcMar>
              <w:top w:w="80" w:type="dxa"/>
              <w:start w:w="120" w:type="dxa"/>
              <w:bottom w:w="80" w:type="dxa"/>
              <w:end w:w="120" w:type="dxa"/>
            </w:tcMar>
            <w:vAlign w:val="center"/>
          </w:tcPr>
          <w:p>
            <w:pPr>
              <w:spacing w:after="0" w:line="252" w:lineRule="auto"/>
            </w:pPr>
            <w:r>
              <w:rPr>
                <w:rFonts w:ascii="Calibri" w:hAnsi="Calibri"/>
                <w:b w:val="0"/>
                <w:i w:val="0"/>
                <w:color w:val="111111"/>
                <w:sz w:val="19"/>
              </w:rPr>
              <w:t>Nationality</w:t>
            </w:r>
          </w:p>
        </w:tc>
        <w:tc>
          <w:tcPr>
            <w:tcW w:type="dxa" w:w="7160"/>
            <w:tcMar>
              <w:top w:w="80" w:type="dxa"/>
              <w:start w:w="120" w:type="dxa"/>
              <w:bottom w:w="80" w:type="dxa"/>
              <w:end w:w="120" w:type="dxa"/>
            </w:tcMar>
            <w:vAlign w:val="center"/>
          </w:tcPr>
          <w:p>
            <w:pPr>
              <w:spacing w:after="0" w:line="252" w:lineRule="auto"/>
            </w:pPr>
            <w:r>
              <w:rPr>
                <w:rFonts w:ascii="Calibri" w:hAnsi="Calibri"/>
                <w:b w:val="0"/>
                <w:i w:val="0"/>
                <w:color w:val="111111"/>
                <w:sz w:val="19"/>
              </w:rPr>
              <w:t>Lebanese</w:t>
            </w:r>
          </w:p>
        </w:tc>
      </w:tr>
      <w:tr>
        <w:trPr>
          <w:cantSplit/>
        </w:trPr>
        <w:tc>
          <w:tcPr>
            <w:tcW w:type="dxa" w:w="22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9"/>
              </w:rPr>
              <w:t>Current employer</w:t>
            </w:r>
          </w:p>
        </w:tc>
        <w:tc>
          <w:tcPr>
            <w:tcW w:type="dxa" w:w="71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9"/>
              </w:rPr>
              <w:t>Cedars Integrated Consulting S.A.L. - Project Director (fictional)</w:t>
            </w:r>
          </w:p>
        </w:tc>
      </w:tr>
      <w:tr>
        <w:trPr>
          <w:cantSplit/>
        </w:trPr>
        <w:tc>
          <w:tcPr>
            <w:tcW w:type="dxa" w:w="2200"/>
            <w:tcMar>
              <w:top w:w="80" w:type="dxa"/>
              <w:start w:w="120" w:type="dxa"/>
              <w:bottom w:w="80" w:type="dxa"/>
              <w:end w:w="120" w:type="dxa"/>
            </w:tcMar>
            <w:vAlign w:val="center"/>
          </w:tcPr>
          <w:p>
            <w:pPr>
              <w:spacing w:after="0" w:line="252" w:lineRule="auto"/>
            </w:pPr>
            <w:r>
              <w:rPr>
                <w:rFonts w:ascii="Calibri" w:hAnsi="Calibri"/>
                <w:b w:val="0"/>
                <w:i w:val="0"/>
                <w:color w:val="111111"/>
                <w:sz w:val="19"/>
              </w:rPr>
              <w:t>Years of experience</w:t>
            </w:r>
          </w:p>
        </w:tc>
        <w:tc>
          <w:tcPr>
            <w:tcW w:type="dxa" w:w="7160"/>
            <w:tcMar>
              <w:top w:w="80" w:type="dxa"/>
              <w:start w:w="120" w:type="dxa"/>
              <w:bottom w:w="80" w:type="dxa"/>
              <w:end w:w="120" w:type="dxa"/>
            </w:tcMar>
            <w:vAlign w:val="center"/>
          </w:tcPr>
          <w:p>
            <w:pPr>
              <w:spacing w:after="0" w:line="252" w:lineRule="auto"/>
            </w:pPr>
            <w:r>
              <w:rPr>
                <w:rFonts w:ascii="Calibri" w:hAnsi="Calibri"/>
                <w:b w:val="0"/>
                <w:i w:val="0"/>
                <w:color w:val="111111"/>
                <w:sz w:val="19"/>
              </w:rPr>
              <w:t>22 years (2004-2026)</w:t>
            </w:r>
          </w:p>
        </w:tc>
      </w:tr>
      <w:tr>
        <w:trPr>
          <w:cantSplit/>
        </w:trPr>
        <w:tc>
          <w:tcPr>
            <w:tcW w:type="dxa" w:w="22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9"/>
              </w:rPr>
              <w:t>Availability / deployment</w:t>
            </w:r>
          </w:p>
        </w:tc>
        <w:tc>
          <w:tcPr>
            <w:tcW w:type="dxa" w:w="71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9"/>
              </w:rPr>
              <w:t>100% for inception; 60% design/procurement; 35% construction with monthly Monrovia presence; full attendance at approvals and escalations</w:t>
            </w:r>
          </w:p>
        </w:tc>
      </w:tr>
      <w:tr>
        <w:trPr>
          <w:cantSplit/>
        </w:trPr>
        <w:tc>
          <w:tcPr>
            <w:tcW w:type="dxa" w:w="2200"/>
            <w:tcMar>
              <w:top w:w="80" w:type="dxa"/>
              <w:start w:w="120" w:type="dxa"/>
              <w:bottom w:w="80" w:type="dxa"/>
              <w:end w:w="120" w:type="dxa"/>
            </w:tcMar>
            <w:vAlign w:val="center"/>
          </w:tcPr>
          <w:p>
            <w:pPr>
              <w:spacing w:after="0" w:line="252" w:lineRule="auto"/>
            </w:pPr>
            <w:r>
              <w:rPr>
                <w:rFonts w:ascii="Calibri" w:hAnsi="Calibri"/>
                <w:b w:val="0"/>
                <w:i w:val="0"/>
                <w:color w:val="111111"/>
                <w:sz w:val="19"/>
              </w:rPr>
              <w:t>Languages</w:t>
            </w:r>
          </w:p>
        </w:tc>
        <w:tc>
          <w:tcPr>
            <w:tcW w:type="dxa" w:w="7160"/>
            <w:tcMar>
              <w:top w:w="80" w:type="dxa"/>
              <w:start w:w="120" w:type="dxa"/>
              <w:bottom w:w="80" w:type="dxa"/>
              <w:end w:w="120" w:type="dxa"/>
            </w:tcMar>
            <w:vAlign w:val="center"/>
          </w:tcPr>
          <w:p>
            <w:pPr>
              <w:spacing w:after="0" w:line="252" w:lineRule="auto"/>
            </w:pPr>
            <w:r>
              <w:rPr>
                <w:rFonts w:ascii="Calibri" w:hAnsi="Calibri"/>
                <w:b w:val="0"/>
                <w:i w:val="0"/>
                <w:color w:val="111111"/>
                <w:sz w:val="19"/>
              </w:rPr>
              <w:t>Arabic (native), English (fluent), French (professional)</w:t>
            </w:r>
          </w:p>
        </w:tc>
      </w:tr>
    </w:tbl>
    <w:p>
      <w:pPr>
        <w:spacing w:before="0" w:after="40" w:line="300" w:lineRule="auto"/>
      </w:pPr>
    </w:p>
    <w:p>
      <w:pPr>
        <w:pStyle w:val="Heading2"/>
        <w:keepNext/>
      </w:pPr>
      <w:r>
        <w:t>Professional profile</w:t>
      </w:r>
    </w:p>
    <w:p>
      <w:pPr>
        <w:spacing w:before="0" w:after="120" w:line="300" w:lineRule="auto"/>
      </w:pPr>
      <w:r>
        <w:rPr>
          <w:rFonts w:ascii="Calibri" w:hAnsi="Calibri"/>
          <w:b w:val="0"/>
          <w:i w:val="0"/>
          <w:color w:val="111111"/>
          <w:sz w:val="22"/>
        </w:rPr>
        <w:t>Civil engineer and programme director specializing in multidisciplinary institutional and mission-critical facilities. His assumed record combines design management, procurement strategy, FIDIC-style contract administration, construction supervision, stakeholder governance and close-out. He has led cross-border teams and secure-facility programmes from brief through defects-liability completion.</w:t>
      </w:r>
    </w:p>
    <w:p>
      <w:pPr>
        <w:pStyle w:val="Heading2"/>
        <w:keepNext/>
      </w:pPr>
      <w:r>
        <w:t>Education and credentials</w:t>
      </w:r>
    </w:p>
    <w:p>
      <w:pPr>
        <w:spacing w:before="0" w:after="100" w:line="300" w:lineRule="auto"/>
        <w:numPr>
          <w:ilvl w:val="0"/>
          <w:numId w:val="10"/>
        </w:numPr>
      </w:pPr>
      <w:r>
        <w:rPr>
          <w:rFonts w:ascii="Calibri" w:hAnsi="Calibri"/>
          <w:b w:val="0"/>
          <w:i w:val="0"/>
          <w:color w:val="111111"/>
          <w:sz w:val="22"/>
        </w:rPr>
        <w:t>PhD, Construction Management, fictional Lebanese technical university, 2014</w:t>
      </w:r>
    </w:p>
    <w:p>
      <w:pPr>
        <w:spacing w:before="0" w:after="100" w:line="300" w:lineRule="auto"/>
        <w:numPr>
          <w:ilvl w:val="0"/>
          <w:numId w:val="10"/>
        </w:numPr>
      </w:pPr>
      <w:r>
        <w:rPr>
          <w:rFonts w:ascii="Calibri" w:hAnsi="Calibri"/>
          <w:b w:val="0"/>
          <w:i w:val="0"/>
          <w:color w:val="111111"/>
          <w:sz w:val="22"/>
        </w:rPr>
        <w:t>MSc, Civil Engineering and Project Management, fictional UK university, 2006</w:t>
      </w:r>
    </w:p>
    <w:p>
      <w:pPr>
        <w:spacing w:before="0" w:after="100" w:line="300" w:lineRule="auto"/>
        <w:numPr>
          <w:ilvl w:val="0"/>
          <w:numId w:val="10"/>
        </w:numPr>
      </w:pPr>
      <w:r>
        <w:rPr>
          <w:rFonts w:ascii="Calibri" w:hAnsi="Calibri"/>
          <w:b w:val="0"/>
          <w:i w:val="0"/>
          <w:color w:val="111111"/>
          <w:sz w:val="22"/>
        </w:rPr>
        <w:t>BE, Civil Engineering, fictional Lebanese university, 2004</w:t>
      </w:r>
    </w:p>
    <w:p>
      <w:pPr>
        <w:spacing w:before="0" w:after="100" w:line="300" w:lineRule="auto"/>
        <w:numPr>
          <w:ilvl w:val="0"/>
          <w:numId w:val="10"/>
        </w:numPr>
      </w:pPr>
      <w:r>
        <w:rPr>
          <w:rFonts w:ascii="Calibri" w:hAnsi="Calibri"/>
          <w:b w:val="0"/>
          <w:i w:val="0"/>
          <w:color w:val="111111"/>
          <w:sz w:val="22"/>
        </w:rPr>
        <w:t>Project Management Professional (PMP), assumed current through 2028</w:t>
      </w:r>
    </w:p>
    <w:p>
      <w:pPr>
        <w:spacing w:before="0" w:after="100" w:line="300" w:lineRule="auto"/>
        <w:numPr>
          <w:ilvl w:val="0"/>
          <w:numId w:val="10"/>
        </w:numPr>
      </w:pPr>
      <w:r>
        <w:rPr>
          <w:rFonts w:ascii="Calibri" w:hAnsi="Calibri"/>
          <w:b w:val="0"/>
          <w:i w:val="0"/>
          <w:color w:val="111111"/>
          <w:sz w:val="22"/>
        </w:rPr>
        <w:t>Postgraduate Diploma, Construction Law and Dispute Resolution, 2018</w:t>
      </w:r>
    </w:p>
    <w:p>
      <w:pPr>
        <w:pStyle w:val="Heading2"/>
        <w:keepNext/>
      </w:pPr>
      <w:r>
        <w:t>TOR responsibilities</w:t>
      </w:r>
    </w:p>
    <w:p>
      <w:pPr>
        <w:spacing w:before="0" w:after="100" w:line="300" w:lineRule="auto"/>
        <w:numPr>
          <w:ilvl w:val="0"/>
          <w:numId w:val="10"/>
        </w:numPr>
      </w:pPr>
      <w:r>
        <w:rPr>
          <w:rFonts w:ascii="Calibri" w:hAnsi="Calibri"/>
          <w:b w:val="0"/>
          <w:i w:val="0"/>
          <w:color w:val="111111"/>
          <w:sz w:val="22"/>
        </w:rPr>
        <w:t>Primary interface with the LIB-PSS Building Committee and accountable owner of all deliverables</w:t>
      </w:r>
    </w:p>
    <w:p>
      <w:pPr>
        <w:spacing w:before="0" w:after="100" w:line="300" w:lineRule="auto"/>
        <w:numPr>
          <w:ilvl w:val="0"/>
          <w:numId w:val="10"/>
        </w:numPr>
      </w:pPr>
      <w:r>
        <w:rPr>
          <w:rFonts w:ascii="Calibri" w:hAnsi="Calibri"/>
          <w:b w:val="0"/>
          <w:i w:val="0"/>
          <w:color w:val="111111"/>
          <w:sz w:val="22"/>
        </w:rPr>
        <w:t>Integrate architecture, structural, MEP, ICT/security, procurement, cost, QA/QC, EHS and commissioning workstreams</w:t>
      </w:r>
    </w:p>
    <w:p>
      <w:pPr>
        <w:spacing w:before="0" w:after="100" w:line="300" w:lineRule="auto"/>
        <w:numPr>
          <w:ilvl w:val="0"/>
          <w:numId w:val="10"/>
        </w:numPr>
      </w:pPr>
      <w:r>
        <w:rPr>
          <w:rFonts w:ascii="Calibri" w:hAnsi="Calibri"/>
          <w:b w:val="0"/>
          <w:i w:val="0"/>
          <w:color w:val="111111"/>
          <w:sz w:val="22"/>
        </w:rPr>
        <w:t>Maintain governance, master schedule, risk register, decision log and escalation process</w:t>
      </w:r>
    </w:p>
    <w:p>
      <w:pPr>
        <w:spacing w:before="0" w:after="100" w:line="300" w:lineRule="auto"/>
        <w:numPr>
          <w:ilvl w:val="0"/>
          <w:numId w:val="10"/>
        </w:numPr>
      </w:pPr>
      <w:r>
        <w:rPr>
          <w:rFonts w:ascii="Calibri" w:hAnsi="Calibri"/>
          <w:b w:val="0"/>
          <w:i w:val="0"/>
          <w:color w:val="111111"/>
          <w:sz w:val="22"/>
        </w:rPr>
        <w:t>Lead procurement advice, bid evaluation, negotiation and contract-administration framework</w:t>
      </w:r>
    </w:p>
    <w:p>
      <w:pPr>
        <w:spacing w:before="0" w:after="100" w:line="300" w:lineRule="auto"/>
        <w:numPr>
          <w:ilvl w:val="0"/>
          <w:numId w:val="10"/>
        </w:numPr>
      </w:pPr>
      <w:r>
        <w:rPr>
          <w:rFonts w:ascii="Calibri" w:hAnsi="Calibri"/>
          <w:b w:val="0"/>
          <w:i w:val="0"/>
          <w:color w:val="111111"/>
          <w:sz w:val="22"/>
        </w:rPr>
        <w:t>Certify internal multidisciplinary coordination before every client submission</w:t>
      </w:r>
    </w:p>
    <w:p>
      <w:pPr>
        <w:pStyle w:val="Heading2"/>
        <w:keepNext/>
      </w:pPr>
      <w:r>
        <w:t>Employment record</w:t>
      </w:r>
    </w:p>
    <w:tbl>
      <w:tblPr>
        <w:tblStyle w:val="TableGrid"/>
        <w:tblW w:type="dxa" w:w="9360"/>
        <w:jc w:val="left"/>
        <w:tblLayout w:type="fixed"/>
        <w:tblLook w:firstColumn="1" w:firstRow="1" w:lastColumn="0" w:lastRow="0" w:noHBand="0" w:noVBand="1" w:val="04A0"/>
        <w:tblInd w:w="120" w:type="dxa"/>
      </w:tblPr>
      <w:tblGrid>
        <w:gridCol w:w="1500"/>
        <w:gridCol w:w="3200"/>
        <w:gridCol w:w="4660"/>
      </w:tblGrid>
      <w:tr>
        <w:trPr>
          <w:tblHeader w:val="true"/>
          <w:cantSplit/>
        </w:trPr>
        <w:tc>
          <w:tcPr>
            <w:tcW w:type="dxa" w:w="1500"/>
            <w:shd w:fill="18324A"/>
            <w:tcMar>
              <w:top w:w="80" w:type="dxa"/>
              <w:start w:w="120" w:type="dxa"/>
              <w:bottom w:w="80" w:type="dxa"/>
              <w:end w:w="120" w:type="dxa"/>
            </w:tcMar>
            <w:vAlign w:val="center"/>
          </w:tcPr>
          <w:p>
            <w:pPr>
              <w:spacing w:after="0"/>
              <w:jc w:val="center"/>
            </w:pPr>
            <w:r>
              <w:rPr>
                <w:rFonts w:ascii="Calibri" w:hAnsi="Calibri"/>
                <w:b/>
                <w:i w:val="0"/>
                <w:color w:val="FFFFFF"/>
                <w:sz w:val="17"/>
              </w:rPr>
              <w:t>Period</w:t>
            </w:r>
          </w:p>
        </w:tc>
        <w:tc>
          <w:tcPr>
            <w:tcW w:type="dxa" w:w="3200"/>
            <w:shd w:fill="18324A"/>
            <w:tcMar>
              <w:top w:w="80" w:type="dxa"/>
              <w:start w:w="120" w:type="dxa"/>
              <w:bottom w:w="80" w:type="dxa"/>
              <w:end w:w="120" w:type="dxa"/>
            </w:tcMar>
            <w:vAlign w:val="center"/>
          </w:tcPr>
          <w:p>
            <w:pPr>
              <w:spacing w:after="0"/>
              <w:jc w:val="center"/>
            </w:pPr>
            <w:r>
              <w:rPr>
                <w:rFonts w:ascii="Calibri" w:hAnsi="Calibri"/>
                <w:b/>
                <w:i w:val="0"/>
                <w:color w:val="FFFFFF"/>
                <w:sz w:val="17"/>
              </w:rPr>
              <w:t>Organization / position</w:t>
            </w:r>
          </w:p>
        </w:tc>
        <w:tc>
          <w:tcPr>
            <w:tcW w:type="dxa" w:w="4660"/>
            <w:shd w:fill="18324A"/>
            <w:tcMar>
              <w:top w:w="80" w:type="dxa"/>
              <w:start w:w="120" w:type="dxa"/>
              <w:bottom w:w="80" w:type="dxa"/>
              <w:end w:w="120" w:type="dxa"/>
            </w:tcMar>
            <w:vAlign w:val="center"/>
          </w:tcPr>
          <w:p>
            <w:pPr>
              <w:spacing w:after="0"/>
              <w:jc w:val="center"/>
            </w:pPr>
            <w:r>
              <w:rPr>
                <w:rFonts w:ascii="Calibri" w:hAnsi="Calibri"/>
                <w:b/>
                <w:i w:val="0"/>
                <w:color w:val="FFFFFF"/>
                <w:sz w:val="17"/>
              </w:rPr>
              <w:t>Selected responsibility</w:t>
            </w:r>
          </w:p>
        </w:tc>
      </w:tr>
      <w:tr>
        <w:trPr>
          <w:cantSplit/>
        </w:trPr>
        <w:tc>
          <w:tcPr>
            <w:tcW w:type="dxa" w:w="1500"/>
            <w:tcMar>
              <w:top w:w="80" w:type="dxa"/>
              <w:start w:w="120" w:type="dxa"/>
              <w:bottom w:w="80" w:type="dxa"/>
              <w:end w:w="120" w:type="dxa"/>
            </w:tcMar>
            <w:vAlign w:val="center"/>
          </w:tcPr>
          <w:p>
            <w:pPr>
              <w:spacing w:after="0" w:line="252" w:lineRule="auto"/>
            </w:pPr>
            <w:r>
              <w:rPr>
                <w:rFonts w:ascii="Calibri" w:hAnsi="Calibri"/>
                <w:b w:val="0"/>
                <w:i w:val="0"/>
                <w:color w:val="111111"/>
                <w:sz w:val="17"/>
              </w:rPr>
              <w:t>2016-present</w:t>
            </w:r>
          </w:p>
        </w:tc>
        <w:tc>
          <w:tcPr>
            <w:tcW w:type="dxa" w:w="3200"/>
            <w:tcMar>
              <w:top w:w="80" w:type="dxa"/>
              <w:start w:w="120" w:type="dxa"/>
              <w:bottom w:w="80" w:type="dxa"/>
              <w:end w:w="120" w:type="dxa"/>
            </w:tcMar>
            <w:vAlign w:val="center"/>
          </w:tcPr>
          <w:p>
            <w:pPr>
              <w:spacing w:after="0" w:line="252" w:lineRule="auto"/>
            </w:pPr>
            <w:r>
              <w:rPr>
                <w:rFonts w:ascii="Calibri" w:hAnsi="Calibri"/>
                <w:b w:val="0"/>
                <w:i w:val="0"/>
                <w:color w:val="111111"/>
                <w:sz w:val="17"/>
              </w:rPr>
              <w:t>Cedars Integrated Consulting - Project Director</w:t>
            </w:r>
          </w:p>
        </w:tc>
        <w:tc>
          <w:tcPr>
            <w:tcW w:type="dxa" w:w="4660"/>
            <w:tcMar>
              <w:top w:w="80" w:type="dxa"/>
              <w:start w:w="120" w:type="dxa"/>
              <w:bottom w:w="80" w:type="dxa"/>
              <w:end w:w="120" w:type="dxa"/>
            </w:tcMar>
            <w:vAlign w:val="center"/>
          </w:tcPr>
          <w:p>
            <w:pPr>
              <w:spacing w:after="0" w:line="252" w:lineRule="auto"/>
            </w:pPr>
            <w:r>
              <w:rPr>
                <w:rFonts w:ascii="Calibri" w:hAnsi="Calibri"/>
                <w:b w:val="0"/>
                <w:i w:val="0"/>
                <w:color w:val="111111"/>
                <w:sz w:val="17"/>
              </w:rPr>
              <w:t>Leads major multidisciplinary and mission-critical commissions</w:t>
            </w:r>
          </w:p>
        </w:tc>
      </w:tr>
      <w:tr>
        <w:trPr>
          <w:cantSplit/>
        </w:trPr>
        <w:tc>
          <w:tcPr>
            <w:tcW w:type="dxa" w:w="15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7"/>
              </w:rPr>
              <w:t>2010-2016</w:t>
            </w:r>
          </w:p>
        </w:tc>
        <w:tc>
          <w:tcPr>
            <w:tcW w:type="dxa" w:w="32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7"/>
              </w:rPr>
              <w:t>Fictional Meridian Project Partners - Senior Project Manager</w:t>
            </w:r>
          </w:p>
        </w:tc>
        <w:tc>
          <w:tcPr>
            <w:tcW w:type="dxa" w:w="46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7"/>
              </w:rPr>
              <w:t>Managed institutional design and construction programmes</w:t>
            </w:r>
          </w:p>
        </w:tc>
      </w:tr>
      <w:tr>
        <w:trPr>
          <w:cantSplit/>
        </w:trPr>
        <w:tc>
          <w:tcPr>
            <w:tcW w:type="dxa" w:w="1500"/>
            <w:tcMar>
              <w:top w:w="80" w:type="dxa"/>
              <w:start w:w="120" w:type="dxa"/>
              <w:bottom w:w="80" w:type="dxa"/>
              <w:end w:w="120" w:type="dxa"/>
            </w:tcMar>
            <w:vAlign w:val="center"/>
          </w:tcPr>
          <w:p>
            <w:pPr>
              <w:spacing w:after="0" w:line="252" w:lineRule="auto"/>
            </w:pPr>
            <w:r>
              <w:rPr>
                <w:rFonts w:ascii="Calibri" w:hAnsi="Calibri"/>
                <w:b w:val="0"/>
                <w:i w:val="0"/>
                <w:color w:val="111111"/>
                <w:sz w:val="17"/>
              </w:rPr>
              <w:t>2004-2010</w:t>
            </w:r>
          </w:p>
        </w:tc>
        <w:tc>
          <w:tcPr>
            <w:tcW w:type="dxa" w:w="3200"/>
            <w:tcMar>
              <w:top w:w="80" w:type="dxa"/>
              <w:start w:w="120" w:type="dxa"/>
              <w:bottom w:w="80" w:type="dxa"/>
              <w:end w:w="120" w:type="dxa"/>
            </w:tcMar>
            <w:vAlign w:val="center"/>
          </w:tcPr>
          <w:p>
            <w:pPr>
              <w:spacing w:after="0" w:line="252" w:lineRule="auto"/>
            </w:pPr>
            <w:r>
              <w:rPr>
                <w:rFonts w:ascii="Calibri" w:hAnsi="Calibri"/>
                <w:b w:val="0"/>
                <w:i w:val="0"/>
                <w:color w:val="111111"/>
                <w:sz w:val="17"/>
              </w:rPr>
              <w:t>Fictional Levant Engineering Group - Civil Engineer / PM</w:t>
            </w:r>
          </w:p>
        </w:tc>
        <w:tc>
          <w:tcPr>
            <w:tcW w:type="dxa" w:w="4660"/>
            <w:tcMar>
              <w:top w:w="80" w:type="dxa"/>
              <w:start w:w="120" w:type="dxa"/>
              <w:bottom w:w="80" w:type="dxa"/>
              <w:end w:w="120" w:type="dxa"/>
            </w:tcMar>
            <w:vAlign w:val="center"/>
          </w:tcPr>
          <w:p>
            <w:pPr>
              <w:spacing w:after="0" w:line="252" w:lineRule="auto"/>
            </w:pPr>
            <w:r>
              <w:rPr>
                <w:rFonts w:ascii="Calibri" w:hAnsi="Calibri"/>
                <w:b w:val="0"/>
                <w:i w:val="0"/>
                <w:color w:val="111111"/>
                <w:sz w:val="17"/>
              </w:rPr>
              <w:t>Planning, supervision, valuations and contract administration</w:t>
            </w:r>
          </w:p>
        </w:tc>
      </w:tr>
    </w:tbl>
    <w:p>
      <w:pPr>
        <w:spacing w:before="0" w:after="40" w:line="300" w:lineRule="auto"/>
      </w:pPr>
    </w:p>
    <w:p>
      <w:pPr>
        <w:pStyle w:val="Heading2"/>
        <w:keepNext/>
      </w:pPr>
      <w:r>
        <w:t>Most relevant assignments</w:t>
      </w:r>
    </w:p>
    <w:tbl>
      <w:tblPr>
        <w:tblStyle w:val="TableGrid"/>
        <w:tblW w:type="dxa" w:w="9360"/>
        <w:jc w:val="left"/>
        <w:tblLayout w:type="fixed"/>
        <w:tblLook w:firstColumn="1" w:firstRow="1" w:lastColumn="0" w:lastRow="0" w:noHBand="0" w:noVBand="1" w:val="04A0"/>
        <w:tblInd w:w="120" w:type="dxa"/>
      </w:tblPr>
      <w:tblGrid>
        <w:gridCol w:w="1500"/>
        <w:gridCol w:w="3300"/>
        <w:gridCol w:w="4560"/>
      </w:tblGrid>
      <w:tr>
        <w:trPr>
          <w:tblHeader w:val="true"/>
          <w:cantSplit/>
        </w:trPr>
        <w:tc>
          <w:tcPr>
            <w:tcW w:type="dxa" w:w="1500"/>
            <w:shd w:fill="18324A"/>
            <w:tcMar>
              <w:top w:w="80" w:type="dxa"/>
              <w:start w:w="120" w:type="dxa"/>
              <w:bottom w:w="80" w:type="dxa"/>
              <w:end w:w="120" w:type="dxa"/>
            </w:tcMar>
            <w:vAlign w:val="center"/>
          </w:tcPr>
          <w:p>
            <w:pPr>
              <w:spacing w:after="0"/>
              <w:jc w:val="center"/>
            </w:pPr>
            <w:r>
              <w:rPr>
                <w:rFonts w:ascii="Calibri" w:hAnsi="Calibri"/>
                <w:b/>
                <w:i w:val="0"/>
                <w:color w:val="FFFFFF"/>
                <w:sz w:val="16"/>
              </w:rPr>
              <w:t>Year / location</w:t>
            </w:r>
          </w:p>
        </w:tc>
        <w:tc>
          <w:tcPr>
            <w:tcW w:type="dxa" w:w="3300"/>
            <w:shd w:fill="18324A"/>
            <w:tcMar>
              <w:top w:w="80" w:type="dxa"/>
              <w:start w:w="120" w:type="dxa"/>
              <w:bottom w:w="80" w:type="dxa"/>
              <w:end w:w="120" w:type="dxa"/>
            </w:tcMar>
            <w:vAlign w:val="center"/>
          </w:tcPr>
          <w:p>
            <w:pPr>
              <w:spacing w:after="0"/>
              <w:jc w:val="center"/>
            </w:pPr>
            <w:r>
              <w:rPr>
                <w:rFonts w:ascii="Calibri" w:hAnsi="Calibri"/>
                <w:b/>
                <w:i w:val="0"/>
                <w:color w:val="FFFFFF"/>
                <w:sz w:val="16"/>
              </w:rPr>
              <w:t>Fictional assignment and client</w:t>
            </w:r>
          </w:p>
        </w:tc>
        <w:tc>
          <w:tcPr>
            <w:tcW w:type="dxa" w:w="4560"/>
            <w:shd w:fill="18324A"/>
            <w:tcMar>
              <w:top w:w="80" w:type="dxa"/>
              <w:start w:w="120" w:type="dxa"/>
              <w:bottom w:w="80" w:type="dxa"/>
              <w:end w:w="120" w:type="dxa"/>
            </w:tcMar>
            <w:vAlign w:val="center"/>
          </w:tcPr>
          <w:p>
            <w:pPr>
              <w:spacing w:after="0"/>
              <w:jc w:val="center"/>
            </w:pPr>
            <w:r>
              <w:rPr>
                <w:rFonts w:ascii="Calibri" w:hAnsi="Calibri"/>
                <w:b/>
                <w:i w:val="0"/>
                <w:color w:val="FFFFFF"/>
                <w:sz w:val="16"/>
              </w:rPr>
              <w:t>Role and relevance</w:t>
            </w:r>
          </w:p>
        </w:tc>
      </w:tr>
      <w:tr>
        <w:trPr>
          <w:cantSplit/>
        </w:trPr>
        <w:tc>
          <w:tcPr>
            <w:tcW w:type="dxa" w:w="1500"/>
            <w:tcMar>
              <w:top w:w="80" w:type="dxa"/>
              <w:start w:w="120" w:type="dxa"/>
              <w:bottom w:w="80" w:type="dxa"/>
              <w:end w:w="120" w:type="dxa"/>
            </w:tcMar>
            <w:vAlign w:val="center"/>
          </w:tcPr>
          <w:p>
            <w:pPr>
              <w:spacing w:after="0" w:line="252" w:lineRule="auto"/>
            </w:pPr>
            <w:r>
              <w:rPr>
                <w:rFonts w:ascii="Calibri" w:hAnsi="Calibri"/>
                <w:b w:val="0"/>
                <w:i w:val="0"/>
                <w:color w:val="111111"/>
                <w:sz w:val="16"/>
              </w:rPr>
              <w:t>2022-2025 / Cyprus</w:t>
            </w:r>
          </w:p>
        </w:tc>
        <w:tc>
          <w:tcPr>
            <w:tcW w:type="dxa" w:w="3300"/>
            <w:tcMar>
              <w:top w:w="80" w:type="dxa"/>
              <w:start w:w="120" w:type="dxa"/>
              <w:bottom w:w="80" w:type="dxa"/>
              <w:end w:w="120" w:type="dxa"/>
            </w:tcMar>
            <w:vAlign w:val="center"/>
          </w:tcPr>
          <w:p>
            <w:pPr>
              <w:spacing w:after="0" w:line="252" w:lineRule="auto"/>
            </w:pPr>
            <w:r>
              <w:rPr>
                <w:rFonts w:ascii="Calibri" w:hAnsi="Calibri"/>
                <w:b w:val="0"/>
                <w:i w:val="0"/>
                <w:color w:val="111111"/>
                <w:sz w:val="16"/>
              </w:rPr>
              <w:t>Eastern Mediterranean Clearing House Operations Centre</w:t>
            </w:r>
          </w:p>
        </w:tc>
        <w:tc>
          <w:tcPr>
            <w:tcW w:type="dxa" w:w="4560"/>
            <w:tcMar>
              <w:top w:w="80" w:type="dxa"/>
              <w:start w:w="120" w:type="dxa"/>
              <w:bottom w:w="80" w:type="dxa"/>
              <w:end w:w="120" w:type="dxa"/>
            </w:tcMar>
            <w:vAlign w:val="center"/>
          </w:tcPr>
          <w:p>
            <w:pPr>
              <w:spacing w:after="0" w:line="252" w:lineRule="auto"/>
            </w:pPr>
            <w:r>
              <w:rPr>
                <w:rFonts w:ascii="Calibri" w:hAnsi="Calibri"/>
                <w:b w:val="0"/>
                <w:i w:val="0"/>
                <w:color w:val="111111"/>
                <w:sz w:val="16"/>
              </w:rPr>
              <w:t>Project director; secure operations building, data center, procurement and construction governance</w:t>
            </w:r>
          </w:p>
        </w:tc>
      </w:tr>
      <w:tr>
        <w:trPr>
          <w:cantSplit/>
        </w:trPr>
        <w:tc>
          <w:tcPr>
            <w:tcW w:type="dxa" w:w="15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2019-2023 / Jordan</w:t>
            </w:r>
          </w:p>
        </w:tc>
        <w:tc>
          <w:tcPr>
            <w:tcW w:type="dxa" w:w="33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National Digital Services Campus</w:t>
            </w:r>
          </w:p>
        </w:tc>
        <w:tc>
          <w:tcPr>
            <w:tcW w:type="dxa" w:w="45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Programme manager; integrated 11 disciplines and managed USD 55m works</w:t>
            </w:r>
          </w:p>
        </w:tc>
      </w:tr>
      <w:tr>
        <w:trPr>
          <w:cantSplit/>
        </w:trPr>
        <w:tc>
          <w:tcPr>
            <w:tcW w:type="dxa" w:w="1500"/>
            <w:tcMar>
              <w:top w:w="80" w:type="dxa"/>
              <w:start w:w="120" w:type="dxa"/>
              <w:bottom w:w="80" w:type="dxa"/>
              <w:end w:w="120" w:type="dxa"/>
            </w:tcMar>
            <w:vAlign w:val="center"/>
          </w:tcPr>
          <w:p>
            <w:pPr>
              <w:spacing w:after="0" w:line="252" w:lineRule="auto"/>
            </w:pPr>
            <w:r>
              <w:rPr>
                <w:rFonts w:ascii="Calibri" w:hAnsi="Calibri"/>
                <w:b w:val="0"/>
                <w:i w:val="0"/>
                <w:color w:val="111111"/>
                <w:sz w:val="16"/>
              </w:rPr>
              <w:t>2018-2021 / Lebanon</w:t>
            </w:r>
          </w:p>
        </w:tc>
        <w:tc>
          <w:tcPr>
            <w:tcW w:type="dxa" w:w="3300"/>
            <w:tcMar>
              <w:top w:w="80" w:type="dxa"/>
              <w:start w:w="120" w:type="dxa"/>
              <w:bottom w:w="80" w:type="dxa"/>
              <w:end w:w="120" w:type="dxa"/>
            </w:tcMar>
            <w:vAlign w:val="center"/>
          </w:tcPr>
          <w:p>
            <w:pPr>
              <w:spacing w:after="0" w:line="252" w:lineRule="auto"/>
            </w:pPr>
            <w:r>
              <w:rPr>
                <w:rFonts w:ascii="Calibri" w:hAnsi="Calibri"/>
                <w:b w:val="0"/>
                <w:i w:val="0"/>
                <w:color w:val="111111"/>
                <w:sz w:val="16"/>
              </w:rPr>
              <w:t>Banque du Levant Resilience Centre</w:t>
            </w:r>
          </w:p>
        </w:tc>
        <w:tc>
          <w:tcPr>
            <w:tcW w:type="dxa" w:w="4560"/>
            <w:tcMar>
              <w:top w:w="80" w:type="dxa"/>
              <w:start w:w="120" w:type="dxa"/>
              <w:bottom w:w="80" w:type="dxa"/>
              <w:end w:w="120" w:type="dxa"/>
            </w:tcMar>
            <w:vAlign w:val="center"/>
          </w:tcPr>
          <w:p>
            <w:pPr>
              <w:spacing w:after="0" w:line="252" w:lineRule="auto"/>
            </w:pPr>
            <w:r>
              <w:rPr>
                <w:rFonts w:ascii="Calibri" w:hAnsi="Calibri"/>
                <w:b w:val="0"/>
                <w:i w:val="0"/>
                <w:color w:val="111111"/>
                <w:sz w:val="16"/>
              </w:rPr>
              <w:t>Team leader; business continuity, redundant utilities, testing and DLP</w:t>
            </w:r>
          </w:p>
        </w:tc>
      </w:tr>
      <w:tr>
        <w:trPr>
          <w:cantSplit/>
        </w:trPr>
        <w:tc>
          <w:tcPr>
            <w:tcW w:type="dxa" w:w="15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2017-2020 / Senegal</w:t>
            </w:r>
          </w:p>
        </w:tc>
        <w:tc>
          <w:tcPr>
            <w:tcW w:type="dxa" w:w="33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Coastal Administration Complex</w:t>
            </w:r>
          </w:p>
        </w:tc>
        <w:tc>
          <w:tcPr>
            <w:tcW w:type="dxa" w:w="45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Project director; climate resilience, tendering and international team leadership</w:t>
            </w:r>
          </w:p>
        </w:tc>
      </w:tr>
    </w:tbl>
    <w:p>
      <w:pPr>
        <w:spacing w:before="0" w:after="40" w:line="300" w:lineRule="auto"/>
      </w:pPr>
    </w:p>
    <w:p>
      <w:pPr>
        <w:pStyle w:val="Heading2"/>
        <w:keepNext/>
      </w:pPr>
      <w:r>
        <w:t>Evidence to attach before a real submission</w:t>
      </w:r>
    </w:p>
    <w:p>
      <w:pPr>
        <w:spacing w:before="0" w:after="100" w:line="300" w:lineRule="auto"/>
        <w:numPr>
          <w:ilvl w:val="0"/>
          <w:numId w:val="10"/>
        </w:numPr>
      </w:pPr>
      <w:r>
        <w:rPr>
          <w:rFonts w:ascii="Calibri" w:hAnsi="Calibri"/>
          <w:b w:val="0"/>
          <w:i w:val="0"/>
          <w:color w:val="111111"/>
          <w:sz w:val="22"/>
        </w:rPr>
        <w:t>Signed CV and availability statement</w:t>
      </w:r>
    </w:p>
    <w:p>
      <w:pPr>
        <w:spacing w:before="0" w:after="100" w:line="300" w:lineRule="auto"/>
        <w:numPr>
          <w:ilvl w:val="0"/>
          <w:numId w:val="10"/>
        </w:numPr>
      </w:pPr>
      <w:r>
        <w:rPr>
          <w:rFonts w:ascii="Calibri" w:hAnsi="Calibri"/>
          <w:b w:val="0"/>
          <w:i w:val="0"/>
          <w:color w:val="111111"/>
          <w:sz w:val="22"/>
        </w:rPr>
        <w:t>Degrees, PMP status and professional memberships</w:t>
      </w:r>
    </w:p>
    <w:p>
      <w:pPr>
        <w:spacing w:before="0" w:after="100" w:line="300" w:lineRule="auto"/>
        <w:numPr>
          <w:ilvl w:val="0"/>
          <w:numId w:val="10"/>
        </w:numPr>
      </w:pPr>
      <w:r>
        <w:rPr>
          <w:rFonts w:ascii="Calibri" w:hAnsi="Calibri"/>
          <w:b w:val="0"/>
          <w:i w:val="0"/>
          <w:color w:val="111111"/>
          <w:sz w:val="22"/>
        </w:rPr>
        <w:t>Employer authorization and employment proof</w:t>
      </w:r>
    </w:p>
    <w:p>
      <w:pPr>
        <w:spacing w:before="0" w:after="100" w:line="300" w:lineRule="auto"/>
        <w:numPr>
          <w:ilvl w:val="0"/>
          <w:numId w:val="10"/>
        </w:numPr>
      </w:pPr>
      <w:r>
        <w:rPr>
          <w:rFonts w:ascii="Calibri" w:hAnsi="Calibri"/>
          <w:b w:val="0"/>
          <w:i w:val="0"/>
          <w:color w:val="111111"/>
          <w:sz w:val="22"/>
        </w:rPr>
        <w:t>Client references and completion evidence for the cited assignments</w:t>
      </w:r>
    </w:p>
    <w:p>
      <w:pPr>
        <w:spacing w:before="0" w:after="100" w:line="300" w:lineRule="auto"/>
        <w:numPr>
          <w:ilvl w:val="0"/>
          <w:numId w:val="10"/>
        </w:numPr>
      </w:pPr>
      <w:r>
        <w:rPr>
          <w:rFonts w:ascii="Calibri" w:hAnsi="Calibri"/>
          <w:b w:val="0"/>
          <w:i w:val="0"/>
          <w:color w:val="111111"/>
          <w:sz w:val="22"/>
        </w:rPr>
        <w:t>Passport/nationality evidence and conflict-of-interest declaration</w:t>
      </w:r>
    </w:p>
    <w:tbl>
      <w:tblPr>
        <w:tblW w:type="dxa" w:w="9360"/>
        <w:jc w:val="left"/>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vAlign w:val="center"/>
            <w:shd w:fill="FFF7E6"/>
          </w:tcPr>
          <w:p>
            <w:pPr>
              <w:spacing w:after="40"/>
            </w:pPr>
            <w:r>
              <w:rPr>
                <w:rFonts w:ascii="Calibri" w:hAnsi="Calibri"/>
                <w:b/>
                <w:i w:val="0"/>
                <w:color w:val="B58220"/>
                <w:sz w:val="22"/>
              </w:rPr>
              <w:t xml:space="preserve">CV declaration: </w:t>
            </w:r>
            <w:r>
              <w:rPr>
                <w:rFonts w:ascii="Calibri" w:hAnsi="Calibri"/>
                <w:b w:val="0"/>
                <w:i w:val="0"/>
                <w:color w:val="111111"/>
                <w:sz w:val="22"/>
              </w:rPr>
              <w:t>This teaching CV is fictional. In a real bid, the expert must review and sign a truthful CV; the bidder must verify degrees, registrations, certifications, employment, availability, and project references.</w:t>
            </w:r>
          </w:p>
        </w:tc>
      </w:tr>
    </w:tbl>
    <w:p>
      <w:pPr>
        <w:spacing w:before="0" w:after="40" w:line="300" w:lineRule="auto"/>
      </w:pPr>
    </w:p>
    <w:p>
      <w:r>
        <w:br w:type="page"/>
      </w:r>
    </w:p>
    <w:p>
      <w:pPr>
        <w:spacing w:before="0" w:after="40" w:line="300" w:lineRule="auto"/>
      </w:pPr>
      <w:r>
        <w:rPr>
          <w:rFonts w:ascii="Calibri" w:hAnsi="Calibri"/>
          <w:b/>
          <w:i w:val="0"/>
          <w:color w:val="167D8D"/>
          <w:sz w:val="18"/>
        </w:rPr>
        <w:t>CURRICULUM VITAE | KEY EXPERT</w:t>
      </w:r>
    </w:p>
    <w:p>
      <w:pPr>
        <w:spacing w:before="0" w:after="40" w:line="300" w:lineRule="auto"/>
      </w:pPr>
      <w:r>
        <w:rPr>
          <w:rFonts w:ascii="Calibri" w:hAnsi="Calibri"/>
          <w:b/>
          <w:i w:val="0"/>
          <w:color w:val="18324A"/>
          <w:sz w:val="44"/>
        </w:rPr>
        <w:t>Maya Haddad</w:t>
      </w:r>
    </w:p>
    <w:p>
      <w:pPr>
        <w:spacing w:before="0" w:after="200" w:line="300" w:lineRule="auto"/>
      </w:pPr>
      <w:r>
        <w:rPr>
          <w:rFonts w:ascii="Calibri" w:hAnsi="Calibri"/>
          <w:b/>
          <w:i w:val="0"/>
          <w:color w:val="2E74B5"/>
          <w:sz w:val="26"/>
        </w:rPr>
        <w:t>K-2 - Lead Architect</w:t>
      </w:r>
    </w:p>
    <w:tbl>
      <w:tblPr>
        <w:tblStyle w:val="TableGrid"/>
        <w:tblW w:type="dxa" w:w="9360"/>
        <w:jc w:val="left"/>
        <w:tblLayout w:type="fixed"/>
        <w:tblLook w:firstColumn="1" w:firstRow="1" w:lastColumn="0" w:lastRow="0" w:noHBand="0" w:noVBand="1" w:val="04A0"/>
        <w:tblInd w:w="120" w:type="dxa"/>
      </w:tblPr>
      <w:tblGrid>
        <w:gridCol w:w="2200"/>
        <w:gridCol w:w="7160"/>
      </w:tblGrid>
      <w:tr>
        <w:trPr>
          <w:tblHeader w:val="true"/>
          <w:cantSplit/>
        </w:trPr>
        <w:tc>
          <w:tcPr>
            <w:tcW w:type="dxa" w:w="2200"/>
            <w:shd w:fill="18324A"/>
            <w:tcMar>
              <w:top w:w="80" w:type="dxa"/>
              <w:start w:w="120" w:type="dxa"/>
              <w:bottom w:w="80" w:type="dxa"/>
              <w:end w:w="120" w:type="dxa"/>
            </w:tcMar>
            <w:vAlign w:val="center"/>
          </w:tcPr>
          <w:p>
            <w:pPr>
              <w:spacing w:after="0"/>
              <w:jc w:val="center"/>
            </w:pPr>
            <w:r>
              <w:rPr>
                <w:rFonts w:ascii="Calibri" w:hAnsi="Calibri"/>
                <w:b/>
                <w:i w:val="0"/>
                <w:color w:val="FFFFFF"/>
                <w:sz w:val="19"/>
              </w:rPr>
              <w:t>Field</w:t>
            </w:r>
          </w:p>
        </w:tc>
        <w:tc>
          <w:tcPr>
            <w:tcW w:type="dxa" w:w="7160"/>
            <w:shd w:fill="18324A"/>
            <w:tcMar>
              <w:top w:w="80" w:type="dxa"/>
              <w:start w:w="120" w:type="dxa"/>
              <w:bottom w:w="80" w:type="dxa"/>
              <w:end w:w="120" w:type="dxa"/>
            </w:tcMar>
            <w:vAlign w:val="center"/>
          </w:tcPr>
          <w:p>
            <w:pPr>
              <w:spacing w:after="0"/>
              <w:jc w:val="center"/>
            </w:pPr>
            <w:r>
              <w:rPr>
                <w:rFonts w:ascii="Calibri" w:hAnsi="Calibri"/>
                <w:b/>
                <w:i w:val="0"/>
                <w:color w:val="FFFFFF"/>
                <w:sz w:val="19"/>
              </w:rPr>
              <w:t>Details</w:t>
            </w:r>
          </w:p>
        </w:tc>
      </w:tr>
      <w:tr>
        <w:trPr>
          <w:cantSplit/>
        </w:trPr>
        <w:tc>
          <w:tcPr>
            <w:tcW w:type="dxa" w:w="2200"/>
            <w:tcMar>
              <w:top w:w="80" w:type="dxa"/>
              <w:start w:w="120" w:type="dxa"/>
              <w:bottom w:w="80" w:type="dxa"/>
              <w:end w:w="120" w:type="dxa"/>
            </w:tcMar>
            <w:vAlign w:val="center"/>
          </w:tcPr>
          <w:p>
            <w:pPr>
              <w:spacing w:after="0" w:line="252" w:lineRule="auto"/>
            </w:pPr>
            <w:r>
              <w:rPr>
                <w:rFonts w:ascii="Calibri" w:hAnsi="Calibri"/>
                <w:b w:val="0"/>
                <w:i w:val="0"/>
                <w:color w:val="111111"/>
                <w:sz w:val="19"/>
              </w:rPr>
              <w:t>Nationality</w:t>
            </w:r>
          </w:p>
        </w:tc>
        <w:tc>
          <w:tcPr>
            <w:tcW w:type="dxa" w:w="7160"/>
            <w:tcMar>
              <w:top w:w="80" w:type="dxa"/>
              <w:start w:w="120" w:type="dxa"/>
              <w:bottom w:w="80" w:type="dxa"/>
              <w:end w:w="120" w:type="dxa"/>
            </w:tcMar>
            <w:vAlign w:val="center"/>
          </w:tcPr>
          <w:p>
            <w:pPr>
              <w:spacing w:after="0" w:line="252" w:lineRule="auto"/>
            </w:pPr>
            <w:r>
              <w:rPr>
                <w:rFonts w:ascii="Calibri" w:hAnsi="Calibri"/>
                <w:b w:val="0"/>
                <w:i w:val="0"/>
                <w:color w:val="111111"/>
                <w:sz w:val="19"/>
              </w:rPr>
              <w:t>Lebanese</w:t>
            </w:r>
          </w:p>
        </w:tc>
      </w:tr>
      <w:tr>
        <w:trPr>
          <w:cantSplit/>
        </w:trPr>
        <w:tc>
          <w:tcPr>
            <w:tcW w:type="dxa" w:w="22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9"/>
              </w:rPr>
              <w:t>Current employer</w:t>
            </w:r>
          </w:p>
        </w:tc>
        <w:tc>
          <w:tcPr>
            <w:tcW w:type="dxa" w:w="71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9"/>
              </w:rPr>
              <w:t>Cedars Integrated Consulting S.A.L. - Design Principal (fictional)</w:t>
            </w:r>
          </w:p>
        </w:tc>
      </w:tr>
      <w:tr>
        <w:trPr>
          <w:cantSplit/>
        </w:trPr>
        <w:tc>
          <w:tcPr>
            <w:tcW w:type="dxa" w:w="2200"/>
            <w:tcMar>
              <w:top w:w="80" w:type="dxa"/>
              <w:start w:w="120" w:type="dxa"/>
              <w:bottom w:w="80" w:type="dxa"/>
              <w:end w:w="120" w:type="dxa"/>
            </w:tcMar>
            <w:vAlign w:val="center"/>
          </w:tcPr>
          <w:p>
            <w:pPr>
              <w:spacing w:after="0" w:line="252" w:lineRule="auto"/>
            </w:pPr>
            <w:r>
              <w:rPr>
                <w:rFonts w:ascii="Calibri" w:hAnsi="Calibri"/>
                <w:b w:val="0"/>
                <w:i w:val="0"/>
                <w:color w:val="111111"/>
                <w:sz w:val="19"/>
              </w:rPr>
              <w:t>Years of experience</w:t>
            </w:r>
          </w:p>
        </w:tc>
        <w:tc>
          <w:tcPr>
            <w:tcW w:type="dxa" w:w="7160"/>
            <w:tcMar>
              <w:top w:w="80" w:type="dxa"/>
              <w:start w:w="120" w:type="dxa"/>
              <w:bottom w:w="80" w:type="dxa"/>
              <w:end w:w="120" w:type="dxa"/>
            </w:tcMar>
            <w:vAlign w:val="center"/>
          </w:tcPr>
          <w:p>
            <w:pPr>
              <w:spacing w:after="0" w:line="252" w:lineRule="auto"/>
            </w:pPr>
            <w:r>
              <w:rPr>
                <w:rFonts w:ascii="Calibri" w:hAnsi="Calibri"/>
                <w:b w:val="0"/>
                <w:i w:val="0"/>
                <w:color w:val="111111"/>
                <w:sz w:val="19"/>
              </w:rPr>
              <w:t>17 years (2009-2026)</w:t>
            </w:r>
          </w:p>
        </w:tc>
      </w:tr>
      <w:tr>
        <w:trPr>
          <w:cantSplit/>
        </w:trPr>
        <w:tc>
          <w:tcPr>
            <w:tcW w:type="dxa" w:w="22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9"/>
              </w:rPr>
              <w:t>Availability / deployment</w:t>
            </w:r>
          </w:p>
        </w:tc>
        <w:tc>
          <w:tcPr>
            <w:tcW w:type="dxa" w:w="71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9"/>
              </w:rPr>
              <w:t>80% during concept and developed design; 50% tender design; milestone reviews during construction and handover</w:t>
            </w:r>
          </w:p>
        </w:tc>
      </w:tr>
      <w:tr>
        <w:trPr>
          <w:cantSplit/>
        </w:trPr>
        <w:tc>
          <w:tcPr>
            <w:tcW w:type="dxa" w:w="2200"/>
            <w:tcMar>
              <w:top w:w="80" w:type="dxa"/>
              <w:start w:w="120" w:type="dxa"/>
              <w:bottom w:w="80" w:type="dxa"/>
              <w:end w:w="120" w:type="dxa"/>
            </w:tcMar>
            <w:vAlign w:val="center"/>
          </w:tcPr>
          <w:p>
            <w:pPr>
              <w:spacing w:after="0" w:line="252" w:lineRule="auto"/>
            </w:pPr>
            <w:r>
              <w:rPr>
                <w:rFonts w:ascii="Calibri" w:hAnsi="Calibri"/>
                <w:b w:val="0"/>
                <w:i w:val="0"/>
                <w:color w:val="111111"/>
                <w:sz w:val="19"/>
              </w:rPr>
              <w:t>Languages</w:t>
            </w:r>
          </w:p>
        </w:tc>
        <w:tc>
          <w:tcPr>
            <w:tcW w:type="dxa" w:w="7160"/>
            <w:tcMar>
              <w:top w:w="80" w:type="dxa"/>
              <w:start w:w="120" w:type="dxa"/>
              <w:bottom w:w="80" w:type="dxa"/>
              <w:end w:w="120" w:type="dxa"/>
            </w:tcMar>
            <w:vAlign w:val="center"/>
          </w:tcPr>
          <w:p>
            <w:pPr>
              <w:spacing w:after="0" w:line="252" w:lineRule="auto"/>
            </w:pPr>
            <w:r>
              <w:rPr>
                <w:rFonts w:ascii="Calibri" w:hAnsi="Calibri"/>
                <w:b w:val="0"/>
                <w:i w:val="0"/>
                <w:color w:val="111111"/>
                <w:sz w:val="19"/>
              </w:rPr>
              <w:t>Arabic (native), English (fluent), French (fluent)</w:t>
            </w:r>
          </w:p>
        </w:tc>
      </w:tr>
    </w:tbl>
    <w:p>
      <w:pPr>
        <w:spacing w:before="0" w:after="40" w:line="300" w:lineRule="auto"/>
      </w:pPr>
    </w:p>
    <w:p>
      <w:pPr>
        <w:pStyle w:val="Heading2"/>
        <w:keepNext/>
      </w:pPr>
      <w:r>
        <w:t>Professional profile</w:t>
      </w:r>
    </w:p>
    <w:p>
      <w:pPr>
        <w:spacing w:before="0" w:after="120" w:line="300" w:lineRule="auto"/>
      </w:pPr>
      <w:r>
        <w:rPr>
          <w:rFonts w:ascii="Calibri" w:hAnsi="Calibri"/>
          <w:b w:val="0"/>
          <w:i w:val="0"/>
          <w:color w:val="111111"/>
          <w:sz w:val="22"/>
        </w:rPr>
        <w:t>Registered architect focused on operationally complex commercial and institutional buildings. Her assumed portfolio covers secure zoning, stakeholder-led space planning, universal access, code coordination, BIM-led clash resolution, value engineering and sustainable design for hot-humid and coastal environments.</w:t>
      </w:r>
    </w:p>
    <w:p>
      <w:pPr>
        <w:pStyle w:val="Heading2"/>
        <w:keepNext/>
      </w:pPr>
      <w:r>
        <w:t>Education and credentials</w:t>
      </w:r>
    </w:p>
    <w:p>
      <w:pPr>
        <w:spacing w:before="0" w:after="100" w:line="300" w:lineRule="auto"/>
        <w:numPr>
          <w:ilvl w:val="0"/>
          <w:numId w:val="10"/>
        </w:numPr>
      </w:pPr>
      <w:r>
        <w:rPr>
          <w:rFonts w:ascii="Calibri" w:hAnsi="Calibri"/>
          <w:b w:val="0"/>
          <w:i w:val="0"/>
          <w:color w:val="111111"/>
          <w:sz w:val="22"/>
        </w:rPr>
        <w:t>Master of Architecture, fictional Lebanese university, 2009</w:t>
      </w:r>
    </w:p>
    <w:p>
      <w:pPr>
        <w:spacing w:before="0" w:after="100" w:line="300" w:lineRule="auto"/>
        <w:numPr>
          <w:ilvl w:val="0"/>
          <w:numId w:val="10"/>
        </w:numPr>
      </w:pPr>
      <w:r>
        <w:rPr>
          <w:rFonts w:ascii="Calibri" w:hAnsi="Calibri"/>
          <w:b w:val="0"/>
          <w:i w:val="0"/>
          <w:color w:val="111111"/>
          <w:sz w:val="22"/>
        </w:rPr>
        <w:t>Registered architect, Order of Engineers and Architects - Beirut (illustrative only)</w:t>
      </w:r>
    </w:p>
    <w:p>
      <w:pPr>
        <w:spacing w:before="0" w:after="100" w:line="300" w:lineRule="auto"/>
        <w:numPr>
          <w:ilvl w:val="0"/>
          <w:numId w:val="10"/>
        </w:numPr>
      </w:pPr>
      <w:r>
        <w:rPr>
          <w:rFonts w:ascii="Calibri" w:hAnsi="Calibri"/>
          <w:b w:val="0"/>
          <w:i w:val="0"/>
          <w:color w:val="111111"/>
          <w:sz w:val="22"/>
        </w:rPr>
        <w:t>LEED AP Building Design + Construction, assumed current</w:t>
      </w:r>
    </w:p>
    <w:p>
      <w:pPr>
        <w:spacing w:before="0" w:after="100" w:line="300" w:lineRule="auto"/>
        <w:numPr>
          <w:ilvl w:val="0"/>
          <w:numId w:val="10"/>
        </w:numPr>
      </w:pPr>
      <w:r>
        <w:rPr>
          <w:rFonts w:ascii="Calibri" w:hAnsi="Calibri"/>
          <w:b w:val="0"/>
          <w:i w:val="0"/>
          <w:color w:val="111111"/>
          <w:sz w:val="22"/>
        </w:rPr>
        <w:t>Certificate, Passive and Climate-Responsive Design, 2020</w:t>
      </w:r>
    </w:p>
    <w:p>
      <w:pPr>
        <w:pStyle w:val="Heading2"/>
        <w:keepNext/>
      </w:pPr>
      <w:r>
        <w:t>TOR responsibilities</w:t>
      </w:r>
    </w:p>
    <w:p>
      <w:pPr>
        <w:spacing w:before="0" w:after="100" w:line="300" w:lineRule="auto"/>
        <w:numPr>
          <w:ilvl w:val="0"/>
          <w:numId w:val="10"/>
        </w:numPr>
      </w:pPr>
      <w:r>
        <w:rPr>
          <w:rFonts w:ascii="Calibri" w:hAnsi="Calibri"/>
          <w:b w:val="0"/>
          <w:i w:val="0"/>
          <w:color w:val="111111"/>
          <w:sz w:val="22"/>
        </w:rPr>
        <w:t>Lead options analysis, functional planning, architectural design and design sign-offs</w:t>
      </w:r>
    </w:p>
    <w:p>
      <w:pPr>
        <w:spacing w:before="0" w:after="100" w:line="300" w:lineRule="auto"/>
        <w:numPr>
          <w:ilvl w:val="0"/>
          <w:numId w:val="10"/>
        </w:numPr>
      </w:pPr>
      <w:r>
        <w:rPr>
          <w:rFonts w:ascii="Calibri" w:hAnsi="Calibri"/>
          <w:b w:val="0"/>
          <w:i w:val="0"/>
          <w:color w:val="111111"/>
          <w:sz w:val="22"/>
        </w:rPr>
        <w:t>Translate CBL operational workflows into secure public, staff, restricted and critical zones</w:t>
      </w:r>
    </w:p>
    <w:p>
      <w:pPr>
        <w:spacing w:before="0" w:after="100" w:line="300" w:lineRule="auto"/>
        <w:numPr>
          <w:ilvl w:val="0"/>
          <w:numId w:val="10"/>
        </w:numPr>
      </w:pPr>
      <w:r>
        <w:rPr>
          <w:rFonts w:ascii="Calibri" w:hAnsi="Calibri"/>
          <w:b w:val="0"/>
          <w:i w:val="0"/>
          <w:color w:val="111111"/>
          <w:sz w:val="22"/>
        </w:rPr>
        <w:t>Coordinate architectural interfaces with structure, MEP, ICT, physical security and sustainability</w:t>
      </w:r>
    </w:p>
    <w:p>
      <w:pPr>
        <w:spacing w:before="0" w:after="100" w:line="300" w:lineRule="auto"/>
        <w:numPr>
          <w:ilvl w:val="0"/>
          <w:numId w:val="10"/>
        </w:numPr>
      </w:pPr>
      <w:r>
        <w:rPr>
          <w:rFonts w:ascii="Calibri" w:hAnsi="Calibri"/>
          <w:b w:val="0"/>
          <w:i w:val="0"/>
          <w:color w:val="111111"/>
          <w:sz w:val="22"/>
        </w:rPr>
        <w:t>Own drawing/specification completeness and interdisciplinary clash closure</w:t>
      </w:r>
    </w:p>
    <w:p>
      <w:pPr>
        <w:spacing w:before="0" w:after="100" w:line="300" w:lineRule="auto"/>
        <w:numPr>
          <w:ilvl w:val="0"/>
          <w:numId w:val="10"/>
        </w:numPr>
      </w:pPr>
      <w:r>
        <w:rPr>
          <w:rFonts w:ascii="Calibri" w:hAnsi="Calibri"/>
          <w:b w:val="0"/>
          <w:i w:val="0"/>
          <w:color w:val="111111"/>
          <w:sz w:val="22"/>
        </w:rPr>
        <w:t>Review shop drawings, samples, mock-ups, as-builts and architectural defects</w:t>
      </w:r>
    </w:p>
    <w:p>
      <w:pPr>
        <w:pStyle w:val="Heading2"/>
        <w:keepNext/>
      </w:pPr>
      <w:r>
        <w:t>Employment record</w:t>
      </w:r>
    </w:p>
    <w:tbl>
      <w:tblPr>
        <w:tblStyle w:val="TableGrid"/>
        <w:tblW w:type="dxa" w:w="9360"/>
        <w:jc w:val="left"/>
        <w:tblLayout w:type="fixed"/>
        <w:tblLook w:firstColumn="1" w:firstRow="1" w:lastColumn="0" w:lastRow="0" w:noHBand="0" w:noVBand="1" w:val="04A0"/>
        <w:tblInd w:w="120" w:type="dxa"/>
      </w:tblPr>
      <w:tblGrid>
        <w:gridCol w:w="1500"/>
        <w:gridCol w:w="3200"/>
        <w:gridCol w:w="4660"/>
      </w:tblGrid>
      <w:tr>
        <w:trPr>
          <w:tblHeader w:val="true"/>
          <w:cantSplit/>
        </w:trPr>
        <w:tc>
          <w:tcPr>
            <w:tcW w:type="dxa" w:w="1500"/>
            <w:shd w:fill="18324A"/>
            <w:tcMar>
              <w:top w:w="80" w:type="dxa"/>
              <w:start w:w="120" w:type="dxa"/>
              <w:bottom w:w="80" w:type="dxa"/>
              <w:end w:w="120" w:type="dxa"/>
            </w:tcMar>
            <w:vAlign w:val="center"/>
          </w:tcPr>
          <w:p>
            <w:pPr>
              <w:spacing w:after="0"/>
              <w:jc w:val="center"/>
            </w:pPr>
            <w:r>
              <w:rPr>
                <w:rFonts w:ascii="Calibri" w:hAnsi="Calibri"/>
                <w:b/>
                <w:i w:val="0"/>
                <w:color w:val="FFFFFF"/>
                <w:sz w:val="17"/>
              </w:rPr>
              <w:t>Period</w:t>
            </w:r>
          </w:p>
        </w:tc>
        <w:tc>
          <w:tcPr>
            <w:tcW w:type="dxa" w:w="3200"/>
            <w:shd w:fill="18324A"/>
            <w:tcMar>
              <w:top w:w="80" w:type="dxa"/>
              <w:start w:w="120" w:type="dxa"/>
              <w:bottom w:w="80" w:type="dxa"/>
              <w:end w:w="120" w:type="dxa"/>
            </w:tcMar>
            <w:vAlign w:val="center"/>
          </w:tcPr>
          <w:p>
            <w:pPr>
              <w:spacing w:after="0"/>
              <w:jc w:val="center"/>
            </w:pPr>
            <w:r>
              <w:rPr>
                <w:rFonts w:ascii="Calibri" w:hAnsi="Calibri"/>
                <w:b/>
                <w:i w:val="0"/>
                <w:color w:val="FFFFFF"/>
                <w:sz w:val="17"/>
              </w:rPr>
              <w:t>Organization / position</w:t>
            </w:r>
          </w:p>
        </w:tc>
        <w:tc>
          <w:tcPr>
            <w:tcW w:type="dxa" w:w="4660"/>
            <w:shd w:fill="18324A"/>
            <w:tcMar>
              <w:top w:w="80" w:type="dxa"/>
              <w:start w:w="120" w:type="dxa"/>
              <w:bottom w:w="80" w:type="dxa"/>
              <w:end w:w="120" w:type="dxa"/>
            </w:tcMar>
            <w:vAlign w:val="center"/>
          </w:tcPr>
          <w:p>
            <w:pPr>
              <w:spacing w:after="0"/>
              <w:jc w:val="center"/>
            </w:pPr>
            <w:r>
              <w:rPr>
                <w:rFonts w:ascii="Calibri" w:hAnsi="Calibri"/>
                <w:b/>
                <w:i w:val="0"/>
                <w:color w:val="FFFFFF"/>
                <w:sz w:val="17"/>
              </w:rPr>
              <w:t>Selected responsibility</w:t>
            </w:r>
          </w:p>
        </w:tc>
      </w:tr>
      <w:tr>
        <w:trPr>
          <w:cantSplit/>
        </w:trPr>
        <w:tc>
          <w:tcPr>
            <w:tcW w:type="dxa" w:w="1500"/>
            <w:tcMar>
              <w:top w:w="80" w:type="dxa"/>
              <w:start w:w="120" w:type="dxa"/>
              <w:bottom w:w="80" w:type="dxa"/>
              <w:end w:w="120" w:type="dxa"/>
            </w:tcMar>
            <w:vAlign w:val="center"/>
          </w:tcPr>
          <w:p>
            <w:pPr>
              <w:spacing w:after="0" w:line="252" w:lineRule="auto"/>
            </w:pPr>
            <w:r>
              <w:rPr>
                <w:rFonts w:ascii="Calibri" w:hAnsi="Calibri"/>
                <w:b w:val="0"/>
                <w:i w:val="0"/>
                <w:color w:val="111111"/>
                <w:sz w:val="17"/>
              </w:rPr>
              <w:t>2017-present</w:t>
            </w:r>
          </w:p>
        </w:tc>
        <w:tc>
          <w:tcPr>
            <w:tcW w:type="dxa" w:w="3200"/>
            <w:tcMar>
              <w:top w:w="80" w:type="dxa"/>
              <w:start w:w="120" w:type="dxa"/>
              <w:bottom w:w="80" w:type="dxa"/>
              <w:end w:w="120" w:type="dxa"/>
            </w:tcMar>
            <w:vAlign w:val="center"/>
          </w:tcPr>
          <w:p>
            <w:pPr>
              <w:spacing w:after="0" w:line="252" w:lineRule="auto"/>
            </w:pPr>
            <w:r>
              <w:rPr>
                <w:rFonts w:ascii="Calibri" w:hAnsi="Calibri"/>
                <w:b w:val="0"/>
                <w:i w:val="0"/>
                <w:color w:val="111111"/>
                <w:sz w:val="17"/>
              </w:rPr>
              <w:t>Cedars Integrated Consulting - Design Principal</w:t>
            </w:r>
          </w:p>
        </w:tc>
        <w:tc>
          <w:tcPr>
            <w:tcW w:type="dxa" w:w="4660"/>
            <w:tcMar>
              <w:top w:w="80" w:type="dxa"/>
              <w:start w:w="120" w:type="dxa"/>
              <w:bottom w:w="80" w:type="dxa"/>
              <w:end w:w="120" w:type="dxa"/>
            </w:tcMar>
            <w:vAlign w:val="center"/>
          </w:tcPr>
          <w:p>
            <w:pPr>
              <w:spacing w:after="0" w:line="252" w:lineRule="auto"/>
            </w:pPr>
            <w:r>
              <w:rPr>
                <w:rFonts w:ascii="Calibri" w:hAnsi="Calibri"/>
                <w:b w:val="0"/>
                <w:i w:val="0"/>
                <w:color w:val="111111"/>
                <w:sz w:val="17"/>
              </w:rPr>
              <w:t>Leads architecture and integrated design reviews</w:t>
            </w:r>
          </w:p>
        </w:tc>
      </w:tr>
      <w:tr>
        <w:trPr>
          <w:cantSplit/>
        </w:trPr>
        <w:tc>
          <w:tcPr>
            <w:tcW w:type="dxa" w:w="15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7"/>
              </w:rPr>
              <w:t>2012-2017</w:t>
            </w:r>
          </w:p>
        </w:tc>
        <w:tc>
          <w:tcPr>
            <w:tcW w:type="dxa" w:w="32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7"/>
              </w:rPr>
              <w:t>Fictional Atelier Axis - Senior Architect</w:t>
            </w:r>
          </w:p>
        </w:tc>
        <w:tc>
          <w:tcPr>
            <w:tcW w:type="dxa" w:w="46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7"/>
              </w:rPr>
              <w:t>Institutional and commercial projects</w:t>
            </w:r>
          </w:p>
        </w:tc>
      </w:tr>
      <w:tr>
        <w:trPr>
          <w:cantSplit/>
        </w:trPr>
        <w:tc>
          <w:tcPr>
            <w:tcW w:type="dxa" w:w="1500"/>
            <w:tcMar>
              <w:top w:w="80" w:type="dxa"/>
              <w:start w:w="120" w:type="dxa"/>
              <w:bottom w:w="80" w:type="dxa"/>
              <w:end w:w="120" w:type="dxa"/>
            </w:tcMar>
            <w:vAlign w:val="center"/>
          </w:tcPr>
          <w:p>
            <w:pPr>
              <w:spacing w:after="0" w:line="252" w:lineRule="auto"/>
            </w:pPr>
            <w:r>
              <w:rPr>
                <w:rFonts w:ascii="Calibri" w:hAnsi="Calibri"/>
                <w:b w:val="0"/>
                <w:i w:val="0"/>
                <w:color w:val="111111"/>
                <w:sz w:val="17"/>
              </w:rPr>
              <w:t>2009-2012</w:t>
            </w:r>
          </w:p>
        </w:tc>
        <w:tc>
          <w:tcPr>
            <w:tcW w:type="dxa" w:w="3200"/>
            <w:tcMar>
              <w:top w:w="80" w:type="dxa"/>
              <w:start w:w="120" w:type="dxa"/>
              <w:bottom w:w="80" w:type="dxa"/>
              <w:end w:w="120" w:type="dxa"/>
            </w:tcMar>
            <w:vAlign w:val="center"/>
          </w:tcPr>
          <w:p>
            <w:pPr>
              <w:spacing w:after="0" w:line="252" w:lineRule="auto"/>
            </w:pPr>
            <w:r>
              <w:rPr>
                <w:rFonts w:ascii="Calibri" w:hAnsi="Calibri"/>
                <w:b w:val="0"/>
                <w:i w:val="0"/>
                <w:color w:val="111111"/>
                <w:sz w:val="17"/>
              </w:rPr>
              <w:t>Fictional UrbanForm - Architect</w:t>
            </w:r>
          </w:p>
        </w:tc>
        <w:tc>
          <w:tcPr>
            <w:tcW w:type="dxa" w:w="4660"/>
            <w:tcMar>
              <w:top w:w="80" w:type="dxa"/>
              <w:start w:w="120" w:type="dxa"/>
              <w:bottom w:w="80" w:type="dxa"/>
              <w:end w:w="120" w:type="dxa"/>
            </w:tcMar>
            <w:vAlign w:val="center"/>
          </w:tcPr>
          <w:p>
            <w:pPr>
              <w:spacing w:after="0" w:line="252" w:lineRule="auto"/>
            </w:pPr>
            <w:r>
              <w:rPr>
                <w:rFonts w:ascii="Calibri" w:hAnsi="Calibri"/>
                <w:b w:val="0"/>
                <w:i w:val="0"/>
                <w:color w:val="111111"/>
                <w:sz w:val="17"/>
              </w:rPr>
              <w:t>Design development and construction documentation</w:t>
            </w:r>
          </w:p>
        </w:tc>
      </w:tr>
    </w:tbl>
    <w:p>
      <w:pPr>
        <w:spacing w:before="0" w:after="40" w:line="300" w:lineRule="auto"/>
      </w:pPr>
    </w:p>
    <w:p>
      <w:pPr>
        <w:pStyle w:val="Heading2"/>
        <w:keepNext/>
      </w:pPr>
      <w:r>
        <w:t>Most relevant assignments</w:t>
      </w:r>
    </w:p>
    <w:tbl>
      <w:tblPr>
        <w:tblStyle w:val="TableGrid"/>
        <w:tblW w:type="dxa" w:w="9360"/>
        <w:jc w:val="left"/>
        <w:tblLayout w:type="fixed"/>
        <w:tblLook w:firstColumn="1" w:firstRow="1" w:lastColumn="0" w:lastRow="0" w:noHBand="0" w:noVBand="1" w:val="04A0"/>
        <w:tblInd w:w="120" w:type="dxa"/>
      </w:tblPr>
      <w:tblGrid>
        <w:gridCol w:w="1500"/>
        <w:gridCol w:w="3300"/>
        <w:gridCol w:w="4560"/>
      </w:tblGrid>
      <w:tr>
        <w:trPr>
          <w:tblHeader w:val="true"/>
          <w:cantSplit/>
        </w:trPr>
        <w:tc>
          <w:tcPr>
            <w:tcW w:type="dxa" w:w="1500"/>
            <w:shd w:fill="18324A"/>
            <w:tcMar>
              <w:top w:w="80" w:type="dxa"/>
              <w:start w:w="120" w:type="dxa"/>
              <w:bottom w:w="80" w:type="dxa"/>
              <w:end w:w="120" w:type="dxa"/>
            </w:tcMar>
            <w:vAlign w:val="center"/>
          </w:tcPr>
          <w:p>
            <w:pPr>
              <w:spacing w:after="0"/>
              <w:jc w:val="center"/>
            </w:pPr>
            <w:r>
              <w:rPr>
                <w:rFonts w:ascii="Calibri" w:hAnsi="Calibri"/>
                <w:b/>
                <w:i w:val="0"/>
                <w:color w:val="FFFFFF"/>
                <w:sz w:val="16"/>
              </w:rPr>
              <w:t>Year / location</w:t>
            </w:r>
          </w:p>
        </w:tc>
        <w:tc>
          <w:tcPr>
            <w:tcW w:type="dxa" w:w="3300"/>
            <w:shd w:fill="18324A"/>
            <w:tcMar>
              <w:top w:w="80" w:type="dxa"/>
              <w:start w:w="120" w:type="dxa"/>
              <w:bottom w:w="80" w:type="dxa"/>
              <w:end w:w="120" w:type="dxa"/>
            </w:tcMar>
            <w:vAlign w:val="center"/>
          </w:tcPr>
          <w:p>
            <w:pPr>
              <w:spacing w:after="0"/>
              <w:jc w:val="center"/>
            </w:pPr>
            <w:r>
              <w:rPr>
                <w:rFonts w:ascii="Calibri" w:hAnsi="Calibri"/>
                <w:b/>
                <w:i w:val="0"/>
                <w:color w:val="FFFFFF"/>
                <w:sz w:val="16"/>
              </w:rPr>
              <w:t>Fictional assignment and client</w:t>
            </w:r>
          </w:p>
        </w:tc>
        <w:tc>
          <w:tcPr>
            <w:tcW w:type="dxa" w:w="4560"/>
            <w:shd w:fill="18324A"/>
            <w:tcMar>
              <w:top w:w="80" w:type="dxa"/>
              <w:start w:w="120" w:type="dxa"/>
              <w:bottom w:w="80" w:type="dxa"/>
              <w:end w:w="120" w:type="dxa"/>
            </w:tcMar>
            <w:vAlign w:val="center"/>
          </w:tcPr>
          <w:p>
            <w:pPr>
              <w:spacing w:after="0"/>
              <w:jc w:val="center"/>
            </w:pPr>
            <w:r>
              <w:rPr>
                <w:rFonts w:ascii="Calibri" w:hAnsi="Calibri"/>
                <w:b/>
                <w:i w:val="0"/>
                <w:color w:val="FFFFFF"/>
                <w:sz w:val="16"/>
              </w:rPr>
              <w:t>Role and relevance</w:t>
            </w:r>
          </w:p>
        </w:tc>
      </w:tr>
      <w:tr>
        <w:trPr>
          <w:cantSplit/>
        </w:trPr>
        <w:tc>
          <w:tcPr>
            <w:tcW w:type="dxa" w:w="1500"/>
            <w:tcMar>
              <w:top w:w="80" w:type="dxa"/>
              <w:start w:w="120" w:type="dxa"/>
              <w:bottom w:w="80" w:type="dxa"/>
              <w:end w:w="120" w:type="dxa"/>
            </w:tcMar>
            <w:vAlign w:val="center"/>
          </w:tcPr>
          <w:p>
            <w:pPr>
              <w:spacing w:after="0" w:line="252" w:lineRule="auto"/>
            </w:pPr>
            <w:r>
              <w:rPr>
                <w:rFonts w:ascii="Calibri" w:hAnsi="Calibri"/>
                <w:b w:val="0"/>
                <w:i w:val="0"/>
                <w:color w:val="111111"/>
                <w:sz w:val="16"/>
              </w:rPr>
              <w:t>2022-2025 / Cyprus</w:t>
            </w:r>
          </w:p>
        </w:tc>
        <w:tc>
          <w:tcPr>
            <w:tcW w:type="dxa" w:w="3300"/>
            <w:tcMar>
              <w:top w:w="80" w:type="dxa"/>
              <w:start w:w="120" w:type="dxa"/>
              <w:bottom w:w="80" w:type="dxa"/>
              <w:end w:w="120" w:type="dxa"/>
            </w:tcMar>
            <w:vAlign w:val="center"/>
          </w:tcPr>
          <w:p>
            <w:pPr>
              <w:spacing w:after="0" w:line="252" w:lineRule="auto"/>
            </w:pPr>
            <w:r>
              <w:rPr>
                <w:rFonts w:ascii="Calibri" w:hAnsi="Calibri"/>
                <w:b w:val="0"/>
                <w:i w:val="0"/>
                <w:color w:val="111111"/>
                <w:sz w:val="16"/>
              </w:rPr>
              <w:t>Eastern Mediterranean Clearing House Operations Centre</w:t>
            </w:r>
          </w:p>
        </w:tc>
        <w:tc>
          <w:tcPr>
            <w:tcW w:type="dxa" w:w="4560"/>
            <w:tcMar>
              <w:top w:w="80" w:type="dxa"/>
              <w:start w:w="120" w:type="dxa"/>
              <w:bottom w:w="80" w:type="dxa"/>
              <w:end w:w="120" w:type="dxa"/>
            </w:tcMar>
            <w:vAlign w:val="center"/>
          </w:tcPr>
          <w:p>
            <w:pPr>
              <w:spacing w:after="0" w:line="252" w:lineRule="auto"/>
            </w:pPr>
            <w:r>
              <w:rPr>
                <w:rFonts w:ascii="Calibri" w:hAnsi="Calibri"/>
                <w:b w:val="0"/>
                <w:i w:val="0"/>
                <w:color w:val="111111"/>
                <w:sz w:val="16"/>
              </w:rPr>
              <w:t>Lead architect; secure zoning, workplace planning and BIM coordination</w:t>
            </w:r>
          </w:p>
        </w:tc>
      </w:tr>
      <w:tr>
        <w:trPr>
          <w:cantSplit/>
        </w:trPr>
        <w:tc>
          <w:tcPr>
            <w:tcW w:type="dxa" w:w="15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2021-2024 / Ghana</w:t>
            </w:r>
          </w:p>
        </w:tc>
        <w:tc>
          <w:tcPr>
            <w:tcW w:type="dxa" w:w="33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West Africa Revenue Authority Headquarters</w:t>
            </w:r>
          </w:p>
        </w:tc>
        <w:tc>
          <w:tcPr>
            <w:tcW w:type="dxa" w:w="45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Design lead; institutional headquarters and stakeholder workshops</w:t>
            </w:r>
          </w:p>
        </w:tc>
      </w:tr>
      <w:tr>
        <w:trPr>
          <w:cantSplit/>
        </w:trPr>
        <w:tc>
          <w:tcPr>
            <w:tcW w:type="dxa" w:w="1500"/>
            <w:tcMar>
              <w:top w:w="80" w:type="dxa"/>
              <w:start w:w="120" w:type="dxa"/>
              <w:bottom w:w="80" w:type="dxa"/>
              <w:end w:w="120" w:type="dxa"/>
            </w:tcMar>
            <w:vAlign w:val="center"/>
          </w:tcPr>
          <w:p>
            <w:pPr>
              <w:spacing w:after="0" w:line="252" w:lineRule="auto"/>
            </w:pPr>
            <w:r>
              <w:rPr>
                <w:rFonts w:ascii="Calibri" w:hAnsi="Calibri"/>
                <w:b w:val="0"/>
                <w:i w:val="0"/>
                <w:color w:val="111111"/>
                <w:sz w:val="16"/>
              </w:rPr>
              <w:t>2019-2023 / Jordan</w:t>
            </w:r>
          </w:p>
        </w:tc>
        <w:tc>
          <w:tcPr>
            <w:tcW w:type="dxa" w:w="3300"/>
            <w:tcMar>
              <w:top w:w="80" w:type="dxa"/>
              <w:start w:w="120" w:type="dxa"/>
              <w:bottom w:w="80" w:type="dxa"/>
              <w:end w:w="120" w:type="dxa"/>
            </w:tcMar>
            <w:vAlign w:val="center"/>
          </w:tcPr>
          <w:p>
            <w:pPr>
              <w:spacing w:after="0" w:line="252" w:lineRule="auto"/>
            </w:pPr>
            <w:r>
              <w:rPr>
                <w:rFonts w:ascii="Calibri" w:hAnsi="Calibri"/>
                <w:b w:val="0"/>
                <w:i w:val="0"/>
                <w:color w:val="111111"/>
                <w:sz w:val="16"/>
              </w:rPr>
              <w:t>National Digital Services Campus</w:t>
            </w:r>
          </w:p>
        </w:tc>
        <w:tc>
          <w:tcPr>
            <w:tcW w:type="dxa" w:w="4560"/>
            <w:tcMar>
              <w:top w:w="80" w:type="dxa"/>
              <w:start w:w="120" w:type="dxa"/>
              <w:bottom w:w="80" w:type="dxa"/>
              <w:end w:w="120" w:type="dxa"/>
            </w:tcMar>
            <w:vAlign w:val="center"/>
          </w:tcPr>
          <w:p>
            <w:pPr>
              <w:spacing w:after="0" w:line="252" w:lineRule="auto"/>
            </w:pPr>
            <w:r>
              <w:rPr>
                <w:rFonts w:ascii="Calibri" w:hAnsi="Calibri"/>
                <w:b w:val="0"/>
                <w:i w:val="0"/>
                <w:color w:val="111111"/>
                <w:sz w:val="16"/>
              </w:rPr>
              <w:t>Architectural package lead; mission-critical adjacency and phased approvals</w:t>
            </w:r>
          </w:p>
        </w:tc>
      </w:tr>
      <w:tr>
        <w:trPr>
          <w:cantSplit/>
        </w:trPr>
        <w:tc>
          <w:tcPr>
            <w:tcW w:type="dxa" w:w="15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2017-2020 / Senegal</w:t>
            </w:r>
          </w:p>
        </w:tc>
        <w:tc>
          <w:tcPr>
            <w:tcW w:type="dxa" w:w="33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Coastal Administration Complex</w:t>
            </w:r>
          </w:p>
        </w:tc>
        <w:tc>
          <w:tcPr>
            <w:tcW w:type="dxa" w:w="45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Climate-responsive envelope and resilience strategies</w:t>
            </w:r>
          </w:p>
        </w:tc>
      </w:tr>
    </w:tbl>
    <w:p>
      <w:pPr>
        <w:spacing w:before="0" w:after="40" w:line="300" w:lineRule="auto"/>
      </w:pPr>
    </w:p>
    <w:p>
      <w:pPr>
        <w:pStyle w:val="Heading2"/>
        <w:keepNext/>
      </w:pPr>
      <w:r>
        <w:t>Evidence to attach before a real submission</w:t>
      </w:r>
    </w:p>
    <w:p>
      <w:pPr>
        <w:spacing w:before="0" w:after="100" w:line="300" w:lineRule="auto"/>
        <w:numPr>
          <w:ilvl w:val="0"/>
          <w:numId w:val="10"/>
        </w:numPr>
      </w:pPr>
      <w:r>
        <w:rPr>
          <w:rFonts w:ascii="Calibri" w:hAnsi="Calibri"/>
          <w:b w:val="0"/>
          <w:i w:val="0"/>
          <w:color w:val="111111"/>
          <w:sz w:val="22"/>
        </w:rPr>
        <w:t>Current architect registration and good-standing letter</w:t>
      </w:r>
    </w:p>
    <w:p>
      <w:pPr>
        <w:spacing w:before="0" w:after="100" w:line="300" w:lineRule="auto"/>
        <w:numPr>
          <w:ilvl w:val="0"/>
          <w:numId w:val="10"/>
        </w:numPr>
      </w:pPr>
      <w:r>
        <w:rPr>
          <w:rFonts w:ascii="Calibri" w:hAnsi="Calibri"/>
          <w:b w:val="0"/>
          <w:i w:val="0"/>
          <w:color w:val="111111"/>
          <w:sz w:val="22"/>
        </w:rPr>
        <w:t>Degree and LEED credential verification</w:t>
      </w:r>
    </w:p>
    <w:p>
      <w:pPr>
        <w:spacing w:before="0" w:after="100" w:line="300" w:lineRule="auto"/>
        <w:numPr>
          <w:ilvl w:val="0"/>
          <w:numId w:val="10"/>
        </w:numPr>
      </w:pPr>
      <w:r>
        <w:rPr>
          <w:rFonts w:ascii="Calibri" w:hAnsi="Calibri"/>
          <w:b w:val="0"/>
          <w:i w:val="0"/>
          <w:color w:val="111111"/>
          <w:sz w:val="22"/>
        </w:rPr>
        <w:t>Signed design portfolio identifying personal role</w:t>
      </w:r>
    </w:p>
    <w:p>
      <w:pPr>
        <w:spacing w:before="0" w:after="100" w:line="300" w:lineRule="auto"/>
        <w:numPr>
          <w:ilvl w:val="0"/>
          <w:numId w:val="10"/>
        </w:numPr>
      </w:pPr>
      <w:r>
        <w:rPr>
          <w:rFonts w:ascii="Calibri" w:hAnsi="Calibri"/>
          <w:b w:val="0"/>
          <w:i w:val="0"/>
          <w:color w:val="111111"/>
          <w:sz w:val="22"/>
        </w:rPr>
        <w:t>Client references / completion certificates</w:t>
      </w:r>
    </w:p>
    <w:p>
      <w:pPr>
        <w:spacing w:before="0" w:after="100" w:line="300" w:lineRule="auto"/>
        <w:numPr>
          <w:ilvl w:val="0"/>
          <w:numId w:val="10"/>
        </w:numPr>
      </w:pPr>
      <w:r>
        <w:rPr>
          <w:rFonts w:ascii="Calibri" w:hAnsi="Calibri"/>
          <w:b w:val="0"/>
          <w:i w:val="0"/>
          <w:color w:val="111111"/>
          <w:sz w:val="22"/>
        </w:rPr>
        <w:t>Signed CV, availability and independence declarations</w:t>
      </w:r>
    </w:p>
    <w:tbl>
      <w:tblPr>
        <w:tblW w:type="dxa" w:w="9360"/>
        <w:jc w:val="left"/>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vAlign w:val="center"/>
            <w:shd w:fill="FFF7E6"/>
          </w:tcPr>
          <w:p>
            <w:pPr>
              <w:spacing w:after="40"/>
            </w:pPr>
            <w:r>
              <w:rPr>
                <w:rFonts w:ascii="Calibri" w:hAnsi="Calibri"/>
                <w:b/>
                <w:i w:val="0"/>
                <w:color w:val="B58220"/>
                <w:sz w:val="22"/>
              </w:rPr>
              <w:t xml:space="preserve">CV declaration: </w:t>
            </w:r>
            <w:r>
              <w:rPr>
                <w:rFonts w:ascii="Calibri" w:hAnsi="Calibri"/>
                <w:b w:val="0"/>
                <w:i w:val="0"/>
                <w:color w:val="111111"/>
                <w:sz w:val="22"/>
              </w:rPr>
              <w:t>This teaching CV is fictional. In a real bid, the expert must review and sign a truthful CV; the bidder must verify degrees, registrations, certifications, employment, availability, and project references.</w:t>
            </w:r>
          </w:p>
        </w:tc>
      </w:tr>
    </w:tbl>
    <w:p>
      <w:pPr>
        <w:spacing w:before="0" w:after="40" w:line="300" w:lineRule="auto"/>
      </w:pPr>
    </w:p>
    <w:p>
      <w:r>
        <w:br w:type="page"/>
      </w:r>
    </w:p>
    <w:p>
      <w:pPr>
        <w:spacing w:before="0" w:after="40" w:line="300" w:lineRule="auto"/>
      </w:pPr>
      <w:r>
        <w:rPr>
          <w:rFonts w:ascii="Calibri" w:hAnsi="Calibri"/>
          <w:b/>
          <w:i w:val="0"/>
          <w:color w:val="167D8D"/>
          <w:sz w:val="18"/>
        </w:rPr>
        <w:t>CURRICULUM VITAE | KEY EXPERT</w:t>
      </w:r>
    </w:p>
    <w:p>
      <w:pPr>
        <w:spacing w:before="0" w:after="40" w:line="300" w:lineRule="auto"/>
      </w:pPr>
      <w:r>
        <w:rPr>
          <w:rFonts w:ascii="Calibri" w:hAnsi="Calibri"/>
          <w:b/>
          <w:i w:val="0"/>
          <w:color w:val="18324A"/>
          <w:sz w:val="44"/>
        </w:rPr>
        <w:t>Eng. Emmanuel K. Wreh</w:t>
      </w:r>
    </w:p>
    <w:p>
      <w:pPr>
        <w:spacing w:before="0" w:after="200" w:line="300" w:lineRule="auto"/>
      </w:pPr>
      <w:r>
        <w:rPr>
          <w:rFonts w:ascii="Calibri" w:hAnsi="Calibri"/>
          <w:b/>
          <w:i w:val="0"/>
          <w:color w:val="2E74B5"/>
          <w:sz w:val="26"/>
        </w:rPr>
        <w:t>K-3 - Structural Engineer</w:t>
      </w:r>
    </w:p>
    <w:tbl>
      <w:tblPr>
        <w:tblStyle w:val="TableGrid"/>
        <w:tblW w:type="dxa" w:w="9360"/>
        <w:jc w:val="left"/>
        <w:tblLayout w:type="fixed"/>
        <w:tblLook w:firstColumn="1" w:firstRow="1" w:lastColumn="0" w:lastRow="0" w:noHBand="0" w:noVBand="1" w:val="04A0"/>
        <w:tblInd w:w="120" w:type="dxa"/>
      </w:tblPr>
      <w:tblGrid>
        <w:gridCol w:w="2200"/>
        <w:gridCol w:w="7160"/>
      </w:tblGrid>
      <w:tr>
        <w:trPr>
          <w:tblHeader w:val="true"/>
          <w:cantSplit/>
        </w:trPr>
        <w:tc>
          <w:tcPr>
            <w:tcW w:type="dxa" w:w="2200"/>
            <w:shd w:fill="18324A"/>
            <w:tcMar>
              <w:top w:w="80" w:type="dxa"/>
              <w:start w:w="120" w:type="dxa"/>
              <w:bottom w:w="80" w:type="dxa"/>
              <w:end w:w="120" w:type="dxa"/>
            </w:tcMar>
            <w:vAlign w:val="center"/>
          </w:tcPr>
          <w:p>
            <w:pPr>
              <w:spacing w:after="0"/>
              <w:jc w:val="center"/>
            </w:pPr>
            <w:r>
              <w:rPr>
                <w:rFonts w:ascii="Calibri" w:hAnsi="Calibri"/>
                <w:b/>
                <w:i w:val="0"/>
                <w:color w:val="FFFFFF"/>
                <w:sz w:val="19"/>
              </w:rPr>
              <w:t>Field</w:t>
            </w:r>
          </w:p>
        </w:tc>
        <w:tc>
          <w:tcPr>
            <w:tcW w:type="dxa" w:w="7160"/>
            <w:shd w:fill="18324A"/>
            <w:tcMar>
              <w:top w:w="80" w:type="dxa"/>
              <w:start w:w="120" w:type="dxa"/>
              <w:bottom w:w="80" w:type="dxa"/>
              <w:end w:w="120" w:type="dxa"/>
            </w:tcMar>
            <w:vAlign w:val="center"/>
          </w:tcPr>
          <w:p>
            <w:pPr>
              <w:spacing w:after="0"/>
              <w:jc w:val="center"/>
            </w:pPr>
            <w:r>
              <w:rPr>
                <w:rFonts w:ascii="Calibri" w:hAnsi="Calibri"/>
                <w:b/>
                <w:i w:val="0"/>
                <w:color w:val="FFFFFF"/>
                <w:sz w:val="19"/>
              </w:rPr>
              <w:t>Details</w:t>
            </w:r>
          </w:p>
        </w:tc>
      </w:tr>
      <w:tr>
        <w:trPr>
          <w:cantSplit/>
        </w:trPr>
        <w:tc>
          <w:tcPr>
            <w:tcW w:type="dxa" w:w="2200"/>
            <w:tcMar>
              <w:top w:w="80" w:type="dxa"/>
              <w:start w:w="120" w:type="dxa"/>
              <w:bottom w:w="80" w:type="dxa"/>
              <w:end w:w="120" w:type="dxa"/>
            </w:tcMar>
            <w:vAlign w:val="center"/>
          </w:tcPr>
          <w:p>
            <w:pPr>
              <w:spacing w:after="0" w:line="252" w:lineRule="auto"/>
            </w:pPr>
            <w:r>
              <w:rPr>
                <w:rFonts w:ascii="Calibri" w:hAnsi="Calibri"/>
                <w:b w:val="0"/>
                <w:i w:val="0"/>
                <w:color w:val="111111"/>
                <w:sz w:val="19"/>
              </w:rPr>
              <w:t>Nationality</w:t>
            </w:r>
          </w:p>
        </w:tc>
        <w:tc>
          <w:tcPr>
            <w:tcW w:type="dxa" w:w="7160"/>
            <w:tcMar>
              <w:top w:w="80" w:type="dxa"/>
              <w:start w:w="120" w:type="dxa"/>
              <w:bottom w:w="80" w:type="dxa"/>
              <w:end w:w="120" w:type="dxa"/>
            </w:tcMar>
            <w:vAlign w:val="center"/>
          </w:tcPr>
          <w:p>
            <w:pPr>
              <w:spacing w:after="0" w:line="252" w:lineRule="auto"/>
            </w:pPr>
            <w:r>
              <w:rPr>
                <w:rFonts w:ascii="Calibri" w:hAnsi="Calibri"/>
                <w:b w:val="0"/>
                <w:i w:val="0"/>
                <w:color w:val="111111"/>
                <w:sz w:val="19"/>
              </w:rPr>
              <w:t>Liberian</w:t>
            </w:r>
          </w:p>
        </w:tc>
      </w:tr>
      <w:tr>
        <w:trPr>
          <w:cantSplit/>
        </w:trPr>
        <w:tc>
          <w:tcPr>
            <w:tcW w:type="dxa" w:w="22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9"/>
              </w:rPr>
              <w:t>Current employer</w:t>
            </w:r>
          </w:p>
        </w:tc>
        <w:tc>
          <w:tcPr>
            <w:tcW w:type="dxa" w:w="71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9"/>
              </w:rPr>
              <w:t>Cedars Integrated Consulting project team - Senior Structural Engineer (fictional)</w:t>
            </w:r>
          </w:p>
        </w:tc>
      </w:tr>
      <w:tr>
        <w:trPr>
          <w:cantSplit/>
        </w:trPr>
        <w:tc>
          <w:tcPr>
            <w:tcW w:type="dxa" w:w="2200"/>
            <w:tcMar>
              <w:top w:w="80" w:type="dxa"/>
              <w:start w:w="120" w:type="dxa"/>
              <w:bottom w:w="80" w:type="dxa"/>
              <w:end w:w="120" w:type="dxa"/>
            </w:tcMar>
            <w:vAlign w:val="center"/>
          </w:tcPr>
          <w:p>
            <w:pPr>
              <w:spacing w:after="0" w:line="252" w:lineRule="auto"/>
            </w:pPr>
            <w:r>
              <w:rPr>
                <w:rFonts w:ascii="Calibri" w:hAnsi="Calibri"/>
                <w:b w:val="0"/>
                <w:i w:val="0"/>
                <w:color w:val="111111"/>
                <w:sz w:val="19"/>
              </w:rPr>
              <w:t>Years of experience</w:t>
            </w:r>
          </w:p>
        </w:tc>
        <w:tc>
          <w:tcPr>
            <w:tcW w:type="dxa" w:w="7160"/>
            <w:tcMar>
              <w:top w:w="80" w:type="dxa"/>
              <w:start w:w="120" w:type="dxa"/>
              <w:bottom w:w="80" w:type="dxa"/>
              <w:end w:w="120" w:type="dxa"/>
            </w:tcMar>
            <w:vAlign w:val="center"/>
          </w:tcPr>
          <w:p>
            <w:pPr>
              <w:spacing w:after="0" w:line="252" w:lineRule="auto"/>
            </w:pPr>
            <w:r>
              <w:rPr>
                <w:rFonts w:ascii="Calibri" w:hAnsi="Calibri"/>
                <w:b w:val="0"/>
                <w:i w:val="0"/>
                <w:color w:val="111111"/>
                <w:sz w:val="19"/>
              </w:rPr>
              <w:t>14 years (2012-2026)</w:t>
            </w:r>
          </w:p>
        </w:tc>
      </w:tr>
      <w:tr>
        <w:trPr>
          <w:cantSplit/>
        </w:trPr>
        <w:tc>
          <w:tcPr>
            <w:tcW w:type="dxa" w:w="22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9"/>
              </w:rPr>
              <w:t>Availability / deployment</w:t>
            </w:r>
          </w:p>
        </w:tc>
        <w:tc>
          <w:tcPr>
            <w:tcW w:type="dxa" w:w="71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9"/>
              </w:rPr>
              <w:t>70% during design; 40% tender phase; scheduled Monrovia site inspections at structural milestones</w:t>
            </w:r>
          </w:p>
        </w:tc>
      </w:tr>
      <w:tr>
        <w:trPr>
          <w:cantSplit/>
        </w:trPr>
        <w:tc>
          <w:tcPr>
            <w:tcW w:type="dxa" w:w="2200"/>
            <w:tcMar>
              <w:top w:w="80" w:type="dxa"/>
              <w:start w:w="120" w:type="dxa"/>
              <w:bottom w:w="80" w:type="dxa"/>
              <w:end w:w="120" w:type="dxa"/>
            </w:tcMar>
            <w:vAlign w:val="center"/>
          </w:tcPr>
          <w:p>
            <w:pPr>
              <w:spacing w:after="0" w:line="252" w:lineRule="auto"/>
            </w:pPr>
            <w:r>
              <w:rPr>
                <w:rFonts w:ascii="Calibri" w:hAnsi="Calibri"/>
                <w:b w:val="0"/>
                <w:i w:val="0"/>
                <w:color w:val="111111"/>
                <w:sz w:val="19"/>
              </w:rPr>
              <w:t>Languages</w:t>
            </w:r>
          </w:p>
        </w:tc>
        <w:tc>
          <w:tcPr>
            <w:tcW w:type="dxa" w:w="7160"/>
            <w:tcMar>
              <w:top w:w="80" w:type="dxa"/>
              <w:start w:w="120" w:type="dxa"/>
              <w:bottom w:w="80" w:type="dxa"/>
              <w:end w:w="120" w:type="dxa"/>
            </w:tcMar>
            <w:vAlign w:val="center"/>
          </w:tcPr>
          <w:p>
            <w:pPr>
              <w:spacing w:after="0" w:line="252" w:lineRule="auto"/>
            </w:pPr>
            <w:r>
              <w:rPr>
                <w:rFonts w:ascii="Calibri" w:hAnsi="Calibri"/>
                <w:b w:val="0"/>
                <w:i w:val="0"/>
                <w:color w:val="111111"/>
                <w:sz w:val="19"/>
              </w:rPr>
              <w:t>English (native), Kpelle (conversational)</w:t>
            </w:r>
          </w:p>
        </w:tc>
      </w:tr>
    </w:tbl>
    <w:p>
      <w:pPr>
        <w:spacing w:before="0" w:after="40" w:line="300" w:lineRule="auto"/>
      </w:pPr>
    </w:p>
    <w:p>
      <w:pPr>
        <w:pStyle w:val="Heading2"/>
        <w:keepNext/>
      </w:pPr>
      <w:r>
        <w:t>Professional profile</w:t>
      </w:r>
    </w:p>
    <w:p>
      <w:pPr>
        <w:spacing w:before="0" w:after="120" w:line="300" w:lineRule="auto"/>
      </w:pPr>
      <w:r>
        <w:rPr>
          <w:rFonts w:ascii="Calibri" w:hAnsi="Calibri"/>
          <w:b w:val="0"/>
          <w:i w:val="0"/>
          <w:color w:val="111111"/>
          <w:sz w:val="22"/>
        </w:rPr>
        <w:t>Liberian structural engineer with assumed experience in reinforced-concrete and steel institutional buildings, coastal exposure, wind and seismic checks, constructability, material approvals and structural inspections. He provides local code and construction-practice insight while coordinating international design standards with Liberian requirements.</w:t>
      </w:r>
    </w:p>
    <w:p>
      <w:pPr>
        <w:pStyle w:val="Heading2"/>
        <w:keepNext/>
      </w:pPr>
      <w:r>
        <w:t>Education and credentials</w:t>
      </w:r>
    </w:p>
    <w:p>
      <w:pPr>
        <w:spacing w:before="0" w:after="100" w:line="300" w:lineRule="auto"/>
        <w:numPr>
          <w:ilvl w:val="0"/>
          <w:numId w:val="10"/>
        </w:numPr>
      </w:pPr>
      <w:r>
        <w:rPr>
          <w:rFonts w:ascii="Calibri" w:hAnsi="Calibri"/>
          <w:b w:val="0"/>
          <w:i w:val="0"/>
          <w:color w:val="111111"/>
          <w:sz w:val="22"/>
        </w:rPr>
        <w:t>MSc, Structural Engineering, fictional West African university, 2015</w:t>
      </w:r>
    </w:p>
    <w:p>
      <w:pPr>
        <w:spacing w:before="0" w:after="100" w:line="300" w:lineRule="auto"/>
        <w:numPr>
          <w:ilvl w:val="0"/>
          <w:numId w:val="10"/>
        </w:numPr>
      </w:pPr>
      <w:r>
        <w:rPr>
          <w:rFonts w:ascii="Calibri" w:hAnsi="Calibri"/>
          <w:b w:val="0"/>
          <w:i w:val="0"/>
          <w:color w:val="111111"/>
          <w:sz w:val="22"/>
        </w:rPr>
        <w:t>BSc, Civil Engineering, fictional Liberian university, 2012</w:t>
      </w:r>
    </w:p>
    <w:p>
      <w:pPr>
        <w:spacing w:before="0" w:after="100" w:line="300" w:lineRule="auto"/>
        <w:numPr>
          <w:ilvl w:val="0"/>
          <w:numId w:val="10"/>
        </w:numPr>
      </w:pPr>
      <w:r>
        <w:rPr>
          <w:rFonts w:ascii="Calibri" w:hAnsi="Calibri"/>
          <w:b w:val="0"/>
          <w:i w:val="0"/>
          <w:color w:val="111111"/>
          <w:sz w:val="22"/>
        </w:rPr>
        <w:t>Professional engineer registration in Liberia (illustrative - verify issuing authority and status)</w:t>
      </w:r>
    </w:p>
    <w:p>
      <w:pPr>
        <w:spacing w:before="0" w:after="100" w:line="300" w:lineRule="auto"/>
        <w:numPr>
          <w:ilvl w:val="0"/>
          <w:numId w:val="10"/>
        </w:numPr>
      </w:pPr>
      <w:r>
        <w:rPr>
          <w:rFonts w:ascii="Calibri" w:hAnsi="Calibri"/>
          <w:b w:val="0"/>
          <w:i w:val="0"/>
          <w:color w:val="111111"/>
          <w:sz w:val="22"/>
        </w:rPr>
        <w:t>Training in Eurocodes, ACI 318 and structural condition assessment</w:t>
      </w:r>
    </w:p>
    <w:p>
      <w:pPr>
        <w:pStyle w:val="Heading2"/>
        <w:keepNext/>
      </w:pPr>
      <w:r>
        <w:t>TOR responsibilities</w:t>
      </w:r>
    </w:p>
    <w:p>
      <w:pPr>
        <w:spacing w:before="0" w:after="100" w:line="300" w:lineRule="auto"/>
        <w:numPr>
          <w:ilvl w:val="0"/>
          <w:numId w:val="10"/>
        </w:numPr>
      </w:pPr>
      <w:r>
        <w:rPr>
          <w:rFonts w:ascii="Calibri" w:hAnsi="Calibri"/>
          <w:b w:val="0"/>
          <w:i w:val="0"/>
          <w:color w:val="111111"/>
          <w:sz w:val="22"/>
        </w:rPr>
        <w:t>Establish structural basis of design, loading criteria and durability strategy</w:t>
      </w:r>
    </w:p>
    <w:p>
      <w:pPr>
        <w:spacing w:before="0" w:after="100" w:line="300" w:lineRule="auto"/>
        <w:numPr>
          <w:ilvl w:val="0"/>
          <w:numId w:val="10"/>
        </w:numPr>
      </w:pPr>
      <w:r>
        <w:rPr>
          <w:rFonts w:ascii="Calibri" w:hAnsi="Calibri"/>
          <w:b w:val="0"/>
          <w:i w:val="0"/>
          <w:color w:val="111111"/>
          <w:sz w:val="22"/>
        </w:rPr>
        <w:t>Design/review foundations, reinforced concrete, steelwork and structural details</w:t>
      </w:r>
    </w:p>
    <w:p>
      <w:pPr>
        <w:spacing w:before="0" w:after="100" w:line="300" w:lineRule="auto"/>
        <w:numPr>
          <w:ilvl w:val="0"/>
          <w:numId w:val="10"/>
        </w:numPr>
      </w:pPr>
      <w:r>
        <w:rPr>
          <w:rFonts w:ascii="Calibri" w:hAnsi="Calibri"/>
          <w:b w:val="0"/>
          <w:i w:val="0"/>
          <w:color w:val="111111"/>
          <w:sz w:val="22"/>
        </w:rPr>
        <w:t>Coordinate geotechnical information and penetrations/interfaces with MEP and ICT</w:t>
      </w:r>
    </w:p>
    <w:p>
      <w:pPr>
        <w:spacing w:before="0" w:after="100" w:line="300" w:lineRule="auto"/>
        <w:numPr>
          <w:ilvl w:val="0"/>
          <w:numId w:val="10"/>
        </w:numPr>
      </w:pPr>
      <w:r>
        <w:rPr>
          <w:rFonts w:ascii="Calibri" w:hAnsi="Calibri"/>
          <w:b w:val="0"/>
          <w:i w:val="0"/>
          <w:color w:val="111111"/>
          <w:sz w:val="22"/>
        </w:rPr>
        <w:t>Review contractor calculations, method statements, shop drawings and material tests</w:t>
      </w:r>
    </w:p>
    <w:p>
      <w:pPr>
        <w:spacing w:before="0" w:after="100" w:line="300" w:lineRule="auto"/>
        <w:numPr>
          <w:ilvl w:val="0"/>
          <w:numId w:val="10"/>
        </w:numPr>
      </w:pPr>
      <w:r>
        <w:rPr>
          <w:rFonts w:ascii="Calibri" w:hAnsi="Calibri"/>
          <w:b w:val="0"/>
          <w:i w:val="0"/>
          <w:color w:val="111111"/>
          <w:sz w:val="22"/>
        </w:rPr>
        <w:t>Inspect structural works, resolve NCRs and certify structural completion inputs</w:t>
      </w:r>
    </w:p>
    <w:p>
      <w:pPr>
        <w:pStyle w:val="Heading2"/>
        <w:keepNext/>
      </w:pPr>
      <w:r>
        <w:t>Employment record</w:t>
      </w:r>
    </w:p>
    <w:tbl>
      <w:tblPr>
        <w:tblStyle w:val="TableGrid"/>
        <w:tblW w:type="dxa" w:w="9360"/>
        <w:jc w:val="left"/>
        <w:tblLayout w:type="fixed"/>
        <w:tblLook w:firstColumn="1" w:firstRow="1" w:lastColumn="0" w:lastRow="0" w:noHBand="0" w:noVBand="1" w:val="04A0"/>
        <w:tblInd w:w="120" w:type="dxa"/>
      </w:tblPr>
      <w:tblGrid>
        <w:gridCol w:w="1500"/>
        <w:gridCol w:w="3200"/>
        <w:gridCol w:w="4660"/>
      </w:tblGrid>
      <w:tr>
        <w:trPr>
          <w:tblHeader w:val="true"/>
          <w:cantSplit/>
        </w:trPr>
        <w:tc>
          <w:tcPr>
            <w:tcW w:type="dxa" w:w="1500"/>
            <w:shd w:fill="18324A"/>
            <w:tcMar>
              <w:top w:w="80" w:type="dxa"/>
              <w:start w:w="120" w:type="dxa"/>
              <w:bottom w:w="80" w:type="dxa"/>
              <w:end w:w="120" w:type="dxa"/>
            </w:tcMar>
            <w:vAlign w:val="center"/>
          </w:tcPr>
          <w:p>
            <w:pPr>
              <w:spacing w:after="0"/>
              <w:jc w:val="center"/>
            </w:pPr>
            <w:r>
              <w:rPr>
                <w:rFonts w:ascii="Calibri" w:hAnsi="Calibri"/>
                <w:b/>
                <w:i w:val="0"/>
                <w:color w:val="FFFFFF"/>
                <w:sz w:val="17"/>
              </w:rPr>
              <w:t>Period</w:t>
            </w:r>
          </w:p>
        </w:tc>
        <w:tc>
          <w:tcPr>
            <w:tcW w:type="dxa" w:w="3200"/>
            <w:shd w:fill="18324A"/>
            <w:tcMar>
              <w:top w:w="80" w:type="dxa"/>
              <w:start w:w="120" w:type="dxa"/>
              <w:bottom w:w="80" w:type="dxa"/>
              <w:end w:w="120" w:type="dxa"/>
            </w:tcMar>
            <w:vAlign w:val="center"/>
          </w:tcPr>
          <w:p>
            <w:pPr>
              <w:spacing w:after="0"/>
              <w:jc w:val="center"/>
            </w:pPr>
            <w:r>
              <w:rPr>
                <w:rFonts w:ascii="Calibri" w:hAnsi="Calibri"/>
                <w:b/>
                <w:i w:val="0"/>
                <w:color w:val="FFFFFF"/>
                <w:sz w:val="17"/>
              </w:rPr>
              <w:t>Organization / position</w:t>
            </w:r>
          </w:p>
        </w:tc>
        <w:tc>
          <w:tcPr>
            <w:tcW w:type="dxa" w:w="4660"/>
            <w:shd w:fill="18324A"/>
            <w:tcMar>
              <w:top w:w="80" w:type="dxa"/>
              <w:start w:w="120" w:type="dxa"/>
              <w:bottom w:w="80" w:type="dxa"/>
              <w:end w:w="120" w:type="dxa"/>
            </w:tcMar>
            <w:vAlign w:val="center"/>
          </w:tcPr>
          <w:p>
            <w:pPr>
              <w:spacing w:after="0"/>
              <w:jc w:val="center"/>
            </w:pPr>
            <w:r>
              <w:rPr>
                <w:rFonts w:ascii="Calibri" w:hAnsi="Calibri"/>
                <w:b/>
                <w:i w:val="0"/>
                <w:color w:val="FFFFFF"/>
                <w:sz w:val="17"/>
              </w:rPr>
              <w:t>Selected responsibility</w:t>
            </w:r>
          </w:p>
        </w:tc>
      </w:tr>
      <w:tr>
        <w:trPr>
          <w:cantSplit/>
        </w:trPr>
        <w:tc>
          <w:tcPr>
            <w:tcW w:type="dxa" w:w="1500"/>
            <w:tcMar>
              <w:top w:w="80" w:type="dxa"/>
              <w:start w:w="120" w:type="dxa"/>
              <w:bottom w:w="80" w:type="dxa"/>
              <w:end w:w="120" w:type="dxa"/>
            </w:tcMar>
            <w:vAlign w:val="center"/>
          </w:tcPr>
          <w:p>
            <w:pPr>
              <w:spacing w:after="0" w:line="252" w:lineRule="auto"/>
            </w:pPr>
            <w:r>
              <w:rPr>
                <w:rFonts w:ascii="Calibri" w:hAnsi="Calibri"/>
                <w:b w:val="0"/>
                <w:i w:val="0"/>
                <w:color w:val="111111"/>
                <w:sz w:val="17"/>
              </w:rPr>
              <w:t>2020-present</w:t>
            </w:r>
          </w:p>
        </w:tc>
        <w:tc>
          <w:tcPr>
            <w:tcW w:type="dxa" w:w="3200"/>
            <w:tcMar>
              <w:top w:w="80" w:type="dxa"/>
              <w:start w:w="120" w:type="dxa"/>
              <w:bottom w:w="80" w:type="dxa"/>
              <w:end w:w="120" w:type="dxa"/>
            </w:tcMar>
            <w:vAlign w:val="center"/>
          </w:tcPr>
          <w:p>
            <w:pPr>
              <w:spacing w:after="0" w:line="252" w:lineRule="auto"/>
            </w:pPr>
            <w:r>
              <w:rPr>
                <w:rFonts w:ascii="Calibri" w:hAnsi="Calibri"/>
                <w:b w:val="0"/>
                <w:i w:val="0"/>
                <w:color w:val="111111"/>
                <w:sz w:val="17"/>
              </w:rPr>
              <w:t>Fictional Monrovia Structures Ltd. - Principal Structural Engineer</w:t>
            </w:r>
          </w:p>
        </w:tc>
        <w:tc>
          <w:tcPr>
            <w:tcW w:type="dxa" w:w="4660"/>
            <w:tcMar>
              <w:top w:w="80" w:type="dxa"/>
              <w:start w:w="120" w:type="dxa"/>
              <w:bottom w:w="80" w:type="dxa"/>
              <w:end w:w="120" w:type="dxa"/>
            </w:tcMar>
            <w:vAlign w:val="center"/>
          </w:tcPr>
          <w:p>
            <w:pPr>
              <w:spacing w:after="0" w:line="252" w:lineRule="auto"/>
            </w:pPr>
            <w:r>
              <w:rPr>
                <w:rFonts w:ascii="Calibri" w:hAnsi="Calibri"/>
                <w:b w:val="0"/>
                <w:i w:val="0"/>
                <w:color w:val="111111"/>
                <w:sz w:val="17"/>
              </w:rPr>
              <w:t>Design and peer review of institutional projects</w:t>
            </w:r>
          </w:p>
        </w:tc>
      </w:tr>
      <w:tr>
        <w:trPr>
          <w:cantSplit/>
        </w:trPr>
        <w:tc>
          <w:tcPr>
            <w:tcW w:type="dxa" w:w="15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7"/>
              </w:rPr>
              <w:t>2015-2020</w:t>
            </w:r>
          </w:p>
        </w:tc>
        <w:tc>
          <w:tcPr>
            <w:tcW w:type="dxa" w:w="32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7"/>
              </w:rPr>
              <w:t>Fictional Atlantic Engineering Liberia - Structural Engineer</w:t>
            </w:r>
          </w:p>
        </w:tc>
        <w:tc>
          <w:tcPr>
            <w:tcW w:type="dxa" w:w="46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7"/>
              </w:rPr>
              <w:t>Buildings, inspections and site support</w:t>
            </w:r>
          </w:p>
        </w:tc>
      </w:tr>
      <w:tr>
        <w:trPr>
          <w:cantSplit/>
        </w:trPr>
        <w:tc>
          <w:tcPr>
            <w:tcW w:type="dxa" w:w="1500"/>
            <w:tcMar>
              <w:top w:w="80" w:type="dxa"/>
              <w:start w:w="120" w:type="dxa"/>
              <w:bottom w:w="80" w:type="dxa"/>
              <w:end w:w="120" w:type="dxa"/>
            </w:tcMar>
            <w:vAlign w:val="center"/>
          </w:tcPr>
          <w:p>
            <w:pPr>
              <w:spacing w:after="0" w:line="252" w:lineRule="auto"/>
            </w:pPr>
            <w:r>
              <w:rPr>
                <w:rFonts w:ascii="Calibri" w:hAnsi="Calibri"/>
                <w:b w:val="0"/>
                <w:i w:val="0"/>
                <w:color w:val="111111"/>
                <w:sz w:val="17"/>
              </w:rPr>
              <w:t>2012-2015</w:t>
            </w:r>
          </w:p>
        </w:tc>
        <w:tc>
          <w:tcPr>
            <w:tcW w:type="dxa" w:w="3200"/>
            <w:tcMar>
              <w:top w:w="80" w:type="dxa"/>
              <w:start w:w="120" w:type="dxa"/>
              <w:bottom w:w="80" w:type="dxa"/>
              <w:end w:w="120" w:type="dxa"/>
            </w:tcMar>
            <w:vAlign w:val="center"/>
          </w:tcPr>
          <w:p>
            <w:pPr>
              <w:spacing w:after="0" w:line="252" w:lineRule="auto"/>
            </w:pPr>
            <w:r>
              <w:rPr>
                <w:rFonts w:ascii="Calibri" w:hAnsi="Calibri"/>
                <w:b w:val="0"/>
                <w:i w:val="0"/>
                <w:color w:val="111111"/>
                <w:sz w:val="17"/>
              </w:rPr>
              <w:t>Fictional Public Works Design Unit - Graduate Engineer</w:t>
            </w:r>
          </w:p>
        </w:tc>
        <w:tc>
          <w:tcPr>
            <w:tcW w:type="dxa" w:w="4660"/>
            <w:tcMar>
              <w:top w:w="80" w:type="dxa"/>
              <w:start w:w="120" w:type="dxa"/>
              <w:bottom w:w="80" w:type="dxa"/>
              <w:end w:w="120" w:type="dxa"/>
            </w:tcMar>
            <w:vAlign w:val="center"/>
          </w:tcPr>
          <w:p>
            <w:pPr>
              <w:spacing w:after="0" w:line="252" w:lineRule="auto"/>
            </w:pPr>
            <w:r>
              <w:rPr>
                <w:rFonts w:ascii="Calibri" w:hAnsi="Calibri"/>
                <w:b w:val="0"/>
                <w:i w:val="0"/>
                <w:color w:val="111111"/>
                <w:sz w:val="17"/>
              </w:rPr>
              <w:t>Structural calculations and supervision</w:t>
            </w:r>
          </w:p>
        </w:tc>
      </w:tr>
    </w:tbl>
    <w:p>
      <w:pPr>
        <w:spacing w:before="0" w:after="40" w:line="300" w:lineRule="auto"/>
      </w:pPr>
    </w:p>
    <w:p>
      <w:pPr>
        <w:pStyle w:val="Heading2"/>
        <w:keepNext/>
      </w:pPr>
      <w:r>
        <w:t>Most relevant assignments</w:t>
      </w:r>
    </w:p>
    <w:tbl>
      <w:tblPr>
        <w:tblStyle w:val="TableGrid"/>
        <w:tblW w:type="dxa" w:w="9360"/>
        <w:jc w:val="left"/>
        <w:tblLayout w:type="fixed"/>
        <w:tblLook w:firstColumn="1" w:firstRow="1" w:lastColumn="0" w:lastRow="0" w:noHBand="0" w:noVBand="1" w:val="04A0"/>
        <w:tblInd w:w="120" w:type="dxa"/>
      </w:tblPr>
      <w:tblGrid>
        <w:gridCol w:w="1500"/>
        <w:gridCol w:w="3300"/>
        <w:gridCol w:w="4560"/>
      </w:tblGrid>
      <w:tr>
        <w:trPr>
          <w:tblHeader w:val="true"/>
          <w:cantSplit/>
        </w:trPr>
        <w:tc>
          <w:tcPr>
            <w:tcW w:type="dxa" w:w="1500"/>
            <w:shd w:fill="18324A"/>
            <w:tcMar>
              <w:top w:w="80" w:type="dxa"/>
              <w:start w:w="120" w:type="dxa"/>
              <w:bottom w:w="80" w:type="dxa"/>
              <w:end w:w="120" w:type="dxa"/>
            </w:tcMar>
            <w:vAlign w:val="center"/>
          </w:tcPr>
          <w:p>
            <w:pPr>
              <w:spacing w:after="0"/>
              <w:jc w:val="center"/>
            </w:pPr>
            <w:r>
              <w:rPr>
                <w:rFonts w:ascii="Calibri" w:hAnsi="Calibri"/>
                <w:b/>
                <w:i w:val="0"/>
                <w:color w:val="FFFFFF"/>
                <w:sz w:val="16"/>
              </w:rPr>
              <w:t>Year / location</w:t>
            </w:r>
          </w:p>
        </w:tc>
        <w:tc>
          <w:tcPr>
            <w:tcW w:type="dxa" w:w="3300"/>
            <w:shd w:fill="18324A"/>
            <w:tcMar>
              <w:top w:w="80" w:type="dxa"/>
              <w:start w:w="120" w:type="dxa"/>
              <w:bottom w:w="80" w:type="dxa"/>
              <w:end w:w="120" w:type="dxa"/>
            </w:tcMar>
            <w:vAlign w:val="center"/>
          </w:tcPr>
          <w:p>
            <w:pPr>
              <w:spacing w:after="0"/>
              <w:jc w:val="center"/>
            </w:pPr>
            <w:r>
              <w:rPr>
                <w:rFonts w:ascii="Calibri" w:hAnsi="Calibri"/>
                <w:b/>
                <w:i w:val="0"/>
                <w:color w:val="FFFFFF"/>
                <w:sz w:val="16"/>
              </w:rPr>
              <w:t>Fictional assignment and client</w:t>
            </w:r>
          </w:p>
        </w:tc>
        <w:tc>
          <w:tcPr>
            <w:tcW w:type="dxa" w:w="4560"/>
            <w:shd w:fill="18324A"/>
            <w:tcMar>
              <w:top w:w="80" w:type="dxa"/>
              <w:start w:w="120" w:type="dxa"/>
              <w:bottom w:w="80" w:type="dxa"/>
              <w:end w:w="120" w:type="dxa"/>
            </w:tcMar>
            <w:vAlign w:val="center"/>
          </w:tcPr>
          <w:p>
            <w:pPr>
              <w:spacing w:after="0"/>
              <w:jc w:val="center"/>
            </w:pPr>
            <w:r>
              <w:rPr>
                <w:rFonts w:ascii="Calibri" w:hAnsi="Calibri"/>
                <w:b/>
                <w:i w:val="0"/>
                <w:color w:val="FFFFFF"/>
                <w:sz w:val="16"/>
              </w:rPr>
              <w:t>Role and relevance</w:t>
            </w:r>
          </w:p>
        </w:tc>
      </w:tr>
      <w:tr>
        <w:trPr>
          <w:cantSplit/>
        </w:trPr>
        <w:tc>
          <w:tcPr>
            <w:tcW w:type="dxa" w:w="1500"/>
            <w:tcMar>
              <w:top w:w="80" w:type="dxa"/>
              <w:start w:w="120" w:type="dxa"/>
              <w:bottom w:w="80" w:type="dxa"/>
              <w:end w:w="120" w:type="dxa"/>
            </w:tcMar>
            <w:vAlign w:val="center"/>
          </w:tcPr>
          <w:p>
            <w:pPr>
              <w:spacing w:after="0" w:line="252" w:lineRule="auto"/>
            </w:pPr>
            <w:r>
              <w:rPr>
                <w:rFonts w:ascii="Calibri" w:hAnsi="Calibri"/>
                <w:b w:val="0"/>
                <w:i w:val="0"/>
                <w:color w:val="111111"/>
                <w:sz w:val="16"/>
              </w:rPr>
              <w:t>2023-2025 / Liberia</w:t>
            </w:r>
          </w:p>
        </w:tc>
        <w:tc>
          <w:tcPr>
            <w:tcW w:type="dxa" w:w="3300"/>
            <w:tcMar>
              <w:top w:w="80" w:type="dxa"/>
              <w:start w:w="120" w:type="dxa"/>
              <w:bottom w:w="80" w:type="dxa"/>
              <w:end w:w="120" w:type="dxa"/>
            </w:tcMar>
            <w:vAlign w:val="center"/>
          </w:tcPr>
          <w:p>
            <w:pPr>
              <w:spacing w:after="0" w:line="252" w:lineRule="auto"/>
            </w:pPr>
            <w:r>
              <w:rPr>
                <w:rFonts w:ascii="Calibri" w:hAnsi="Calibri"/>
                <w:b w:val="0"/>
                <w:i w:val="0"/>
                <w:color w:val="111111"/>
                <w:sz w:val="16"/>
              </w:rPr>
              <w:t>Monrovia Digital Administration Centre</w:t>
            </w:r>
          </w:p>
        </w:tc>
        <w:tc>
          <w:tcPr>
            <w:tcW w:type="dxa" w:w="4560"/>
            <w:tcMar>
              <w:top w:w="80" w:type="dxa"/>
              <w:start w:w="120" w:type="dxa"/>
              <w:bottom w:w="80" w:type="dxa"/>
              <w:end w:w="120" w:type="dxa"/>
            </w:tcMar>
            <w:vAlign w:val="center"/>
          </w:tcPr>
          <w:p>
            <w:pPr>
              <w:spacing w:after="0" w:line="252" w:lineRule="auto"/>
            </w:pPr>
            <w:r>
              <w:rPr>
                <w:rFonts w:ascii="Calibri" w:hAnsi="Calibri"/>
                <w:b w:val="0"/>
                <w:i w:val="0"/>
                <w:color w:val="111111"/>
                <w:sz w:val="16"/>
              </w:rPr>
              <w:t>Structural lead; secure institutional building in coastal conditions</w:t>
            </w:r>
          </w:p>
        </w:tc>
      </w:tr>
      <w:tr>
        <w:trPr>
          <w:cantSplit/>
        </w:trPr>
        <w:tc>
          <w:tcPr>
            <w:tcW w:type="dxa" w:w="15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2020-2023 / Liberia</w:t>
            </w:r>
          </w:p>
        </w:tc>
        <w:tc>
          <w:tcPr>
            <w:tcW w:type="dxa" w:w="33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National Records and Archive Facility</w:t>
            </w:r>
          </w:p>
        </w:tc>
        <w:tc>
          <w:tcPr>
            <w:tcW w:type="dxa" w:w="45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Structural engineer; durability, long-span records areas and site inspections</w:t>
            </w:r>
          </w:p>
        </w:tc>
      </w:tr>
      <w:tr>
        <w:trPr>
          <w:cantSplit/>
        </w:trPr>
        <w:tc>
          <w:tcPr>
            <w:tcW w:type="dxa" w:w="1500"/>
            <w:tcMar>
              <w:top w:w="80" w:type="dxa"/>
              <w:start w:w="120" w:type="dxa"/>
              <w:bottom w:w="80" w:type="dxa"/>
              <w:end w:w="120" w:type="dxa"/>
            </w:tcMar>
            <w:vAlign w:val="center"/>
          </w:tcPr>
          <w:p>
            <w:pPr>
              <w:spacing w:after="0" w:line="252" w:lineRule="auto"/>
            </w:pPr>
            <w:r>
              <w:rPr>
                <w:rFonts w:ascii="Calibri" w:hAnsi="Calibri"/>
                <w:b w:val="0"/>
                <w:i w:val="0"/>
                <w:color w:val="111111"/>
                <w:sz w:val="16"/>
              </w:rPr>
              <w:t>2018-2021 / Sierra Leone</w:t>
            </w:r>
          </w:p>
        </w:tc>
        <w:tc>
          <w:tcPr>
            <w:tcW w:type="dxa" w:w="3300"/>
            <w:tcMar>
              <w:top w:w="80" w:type="dxa"/>
              <w:start w:w="120" w:type="dxa"/>
              <w:bottom w:w="80" w:type="dxa"/>
              <w:end w:w="120" w:type="dxa"/>
            </w:tcMar>
            <w:vAlign w:val="center"/>
          </w:tcPr>
          <w:p>
            <w:pPr>
              <w:spacing w:after="0" w:line="252" w:lineRule="auto"/>
            </w:pPr>
            <w:r>
              <w:rPr>
                <w:rFonts w:ascii="Calibri" w:hAnsi="Calibri"/>
                <w:b w:val="0"/>
                <w:i w:val="0"/>
                <w:color w:val="111111"/>
                <w:sz w:val="16"/>
              </w:rPr>
              <w:t>Regional Revenue Headquarters</w:t>
            </w:r>
          </w:p>
        </w:tc>
        <w:tc>
          <w:tcPr>
            <w:tcW w:type="dxa" w:w="4560"/>
            <w:tcMar>
              <w:top w:w="80" w:type="dxa"/>
              <w:start w:w="120" w:type="dxa"/>
              <w:bottom w:w="80" w:type="dxa"/>
              <w:end w:w="120" w:type="dxa"/>
            </w:tcMar>
            <w:vAlign w:val="center"/>
          </w:tcPr>
          <w:p>
            <w:pPr>
              <w:spacing w:after="0" w:line="252" w:lineRule="auto"/>
            </w:pPr>
            <w:r>
              <w:rPr>
                <w:rFonts w:ascii="Calibri" w:hAnsi="Calibri"/>
                <w:b w:val="0"/>
                <w:i w:val="0"/>
                <w:color w:val="111111"/>
                <w:sz w:val="16"/>
              </w:rPr>
              <w:t>Structural package engineer; design and construction-stage reviews</w:t>
            </w:r>
          </w:p>
        </w:tc>
      </w:tr>
      <w:tr>
        <w:trPr>
          <w:cantSplit/>
        </w:trPr>
        <w:tc>
          <w:tcPr>
            <w:tcW w:type="dxa" w:w="15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2016-2019 / Liberia</w:t>
            </w:r>
          </w:p>
        </w:tc>
        <w:tc>
          <w:tcPr>
            <w:tcW w:type="dxa" w:w="33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Coastal Emergency Operations Centre</w:t>
            </w:r>
          </w:p>
        </w:tc>
        <w:tc>
          <w:tcPr>
            <w:tcW w:type="dxa" w:w="45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Engineer; resilient structural design and QA inspections</w:t>
            </w:r>
          </w:p>
        </w:tc>
      </w:tr>
    </w:tbl>
    <w:p>
      <w:pPr>
        <w:spacing w:before="0" w:after="40" w:line="300" w:lineRule="auto"/>
      </w:pPr>
    </w:p>
    <w:p>
      <w:pPr>
        <w:pStyle w:val="Heading2"/>
        <w:keepNext/>
      </w:pPr>
      <w:r>
        <w:t>Evidence to attach before a real submission</w:t>
      </w:r>
    </w:p>
    <w:p>
      <w:pPr>
        <w:spacing w:before="0" w:after="100" w:line="300" w:lineRule="auto"/>
        <w:numPr>
          <w:ilvl w:val="0"/>
          <w:numId w:val="10"/>
        </w:numPr>
      </w:pPr>
      <w:r>
        <w:rPr>
          <w:rFonts w:ascii="Calibri" w:hAnsi="Calibri"/>
          <w:b w:val="0"/>
          <w:i w:val="0"/>
          <w:color w:val="111111"/>
          <w:sz w:val="22"/>
        </w:rPr>
        <w:t>Liberian nationality evidence</w:t>
      </w:r>
    </w:p>
    <w:p>
      <w:pPr>
        <w:spacing w:before="0" w:after="100" w:line="300" w:lineRule="auto"/>
        <w:numPr>
          <w:ilvl w:val="0"/>
          <w:numId w:val="10"/>
        </w:numPr>
      </w:pPr>
      <w:r>
        <w:rPr>
          <w:rFonts w:ascii="Calibri" w:hAnsi="Calibri"/>
          <w:b w:val="0"/>
          <w:i w:val="0"/>
          <w:color w:val="111111"/>
          <w:sz w:val="22"/>
        </w:rPr>
        <w:t>Professional registration / good standing</w:t>
      </w:r>
    </w:p>
    <w:p>
      <w:pPr>
        <w:spacing w:before="0" w:after="100" w:line="300" w:lineRule="auto"/>
        <w:numPr>
          <w:ilvl w:val="0"/>
          <w:numId w:val="10"/>
        </w:numPr>
      </w:pPr>
      <w:r>
        <w:rPr>
          <w:rFonts w:ascii="Calibri" w:hAnsi="Calibri"/>
          <w:b w:val="0"/>
          <w:i w:val="0"/>
          <w:color w:val="111111"/>
          <w:sz w:val="22"/>
        </w:rPr>
        <w:t>Degrees and training records</w:t>
      </w:r>
    </w:p>
    <w:p>
      <w:pPr>
        <w:spacing w:before="0" w:after="100" w:line="300" w:lineRule="auto"/>
        <w:numPr>
          <w:ilvl w:val="0"/>
          <w:numId w:val="10"/>
        </w:numPr>
      </w:pPr>
      <w:r>
        <w:rPr>
          <w:rFonts w:ascii="Calibri" w:hAnsi="Calibri"/>
          <w:b w:val="0"/>
          <w:i w:val="0"/>
          <w:color w:val="111111"/>
          <w:sz w:val="22"/>
        </w:rPr>
        <w:t>Design calculations or employer-certified role evidence</w:t>
      </w:r>
    </w:p>
    <w:p>
      <w:pPr>
        <w:spacing w:before="0" w:after="100" w:line="300" w:lineRule="auto"/>
        <w:numPr>
          <w:ilvl w:val="0"/>
          <w:numId w:val="10"/>
        </w:numPr>
      </w:pPr>
      <w:r>
        <w:rPr>
          <w:rFonts w:ascii="Calibri" w:hAnsi="Calibri"/>
          <w:b w:val="0"/>
          <w:i w:val="0"/>
          <w:color w:val="111111"/>
          <w:sz w:val="22"/>
        </w:rPr>
        <w:t>References and signed availability commitment</w:t>
      </w:r>
    </w:p>
    <w:tbl>
      <w:tblPr>
        <w:tblW w:type="dxa" w:w="9360"/>
        <w:jc w:val="left"/>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vAlign w:val="center"/>
            <w:shd w:fill="FFF7E6"/>
          </w:tcPr>
          <w:p>
            <w:pPr>
              <w:spacing w:after="40"/>
            </w:pPr>
            <w:r>
              <w:rPr>
                <w:rFonts w:ascii="Calibri" w:hAnsi="Calibri"/>
                <w:b/>
                <w:i w:val="0"/>
                <w:color w:val="B58220"/>
                <w:sz w:val="22"/>
              </w:rPr>
              <w:t xml:space="preserve">CV declaration: </w:t>
            </w:r>
            <w:r>
              <w:rPr>
                <w:rFonts w:ascii="Calibri" w:hAnsi="Calibri"/>
                <w:b w:val="0"/>
                <w:i w:val="0"/>
                <w:color w:val="111111"/>
                <w:sz w:val="22"/>
              </w:rPr>
              <w:t>This teaching CV is fictional. In a real bid, the expert must review and sign a truthful CV; the bidder must verify degrees, registrations, certifications, employment, availability, and project references.</w:t>
            </w:r>
          </w:p>
        </w:tc>
      </w:tr>
    </w:tbl>
    <w:p>
      <w:pPr>
        <w:spacing w:before="0" w:after="40" w:line="300" w:lineRule="auto"/>
      </w:pPr>
    </w:p>
    <w:p>
      <w:r>
        <w:br w:type="page"/>
      </w:r>
    </w:p>
    <w:p>
      <w:pPr>
        <w:spacing w:before="0" w:after="40" w:line="300" w:lineRule="auto"/>
      </w:pPr>
      <w:r>
        <w:rPr>
          <w:rFonts w:ascii="Calibri" w:hAnsi="Calibri"/>
          <w:b/>
          <w:i w:val="0"/>
          <w:color w:val="167D8D"/>
          <w:sz w:val="18"/>
        </w:rPr>
        <w:t>CURRICULUM VITAE | KEY EXPERT</w:t>
      </w:r>
    </w:p>
    <w:p>
      <w:pPr>
        <w:spacing w:before="0" w:after="40" w:line="300" w:lineRule="auto"/>
      </w:pPr>
      <w:r>
        <w:rPr>
          <w:rFonts w:ascii="Calibri" w:hAnsi="Calibri"/>
          <w:b/>
          <w:i w:val="0"/>
          <w:color w:val="18324A"/>
          <w:sz w:val="44"/>
        </w:rPr>
        <w:t>Nadine Ghosn</w:t>
      </w:r>
    </w:p>
    <w:p>
      <w:pPr>
        <w:spacing w:before="0" w:after="200" w:line="300" w:lineRule="auto"/>
      </w:pPr>
      <w:r>
        <w:rPr>
          <w:rFonts w:ascii="Calibri" w:hAnsi="Calibri"/>
          <w:b/>
          <w:i w:val="0"/>
          <w:color w:val="2E74B5"/>
          <w:sz w:val="26"/>
        </w:rPr>
        <w:t>K-4 - Mechanical, Electrical and Plumbing (MEP) Engineer</w:t>
      </w:r>
    </w:p>
    <w:tbl>
      <w:tblPr>
        <w:tblStyle w:val="TableGrid"/>
        <w:tblW w:type="dxa" w:w="9360"/>
        <w:jc w:val="left"/>
        <w:tblLayout w:type="fixed"/>
        <w:tblLook w:firstColumn="1" w:firstRow="1" w:lastColumn="0" w:lastRow="0" w:noHBand="0" w:noVBand="1" w:val="04A0"/>
        <w:tblInd w:w="120" w:type="dxa"/>
      </w:tblPr>
      <w:tblGrid>
        <w:gridCol w:w="2200"/>
        <w:gridCol w:w="7160"/>
      </w:tblGrid>
      <w:tr>
        <w:trPr>
          <w:tblHeader w:val="true"/>
          <w:cantSplit/>
        </w:trPr>
        <w:tc>
          <w:tcPr>
            <w:tcW w:type="dxa" w:w="2200"/>
            <w:shd w:fill="18324A"/>
            <w:tcMar>
              <w:top w:w="80" w:type="dxa"/>
              <w:start w:w="120" w:type="dxa"/>
              <w:bottom w:w="80" w:type="dxa"/>
              <w:end w:w="120" w:type="dxa"/>
            </w:tcMar>
            <w:vAlign w:val="center"/>
          </w:tcPr>
          <w:p>
            <w:pPr>
              <w:spacing w:after="0"/>
              <w:jc w:val="center"/>
            </w:pPr>
            <w:r>
              <w:rPr>
                <w:rFonts w:ascii="Calibri" w:hAnsi="Calibri"/>
                <w:b/>
                <w:i w:val="0"/>
                <w:color w:val="FFFFFF"/>
                <w:sz w:val="19"/>
              </w:rPr>
              <w:t>Field</w:t>
            </w:r>
          </w:p>
        </w:tc>
        <w:tc>
          <w:tcPr>
            <w:tcW w:type="dxa" w:w="7160"/>
            <w:shd w:fill="18324A"/>
            <w:tcMar>
              <w:top w:w="80" w:type="dxa"/>
              <w:start w:w="120" w:type="dxa"/>
              <w:bottom w:w="80" w:type="dxa"/>
              <w:end w:w="120" w:type="dxa"/>
            </w:tcMar>
            <w:vAlign w:val="center"/>
          </w:tcPr>
          <w:p>
            <w:pPr>
              <w:spacing w:after="0"/>
              <w:jc w:val="center"/>
            </w:pPr>
            <w:r>
              <w:rPr>
                <w:rFonts w:ascii="Calibri" w:hAnsi="Calibri"/>
                <w:b/>
                <w:i w:val="0"/>
                <w:color w:val="FFFFFF"/>
                <w:sz w:val="19"/>
              </w:rPr>
              <w:t>Details</w:t>
            </w:r>
          </w:p>
        </w:tc>
      </w:tr>
      <w:tr>
        <w:trPr>
          <w:cantSplit/>
        </w:trPr>
        <w:tc>
          <w:tcPr>
            <w:tcW w:type="dxa" w:w="2200"/>
            <w:tcMar>
              <w:top w:w="80" w:type="dxa"/>
              <w:start w:w="120" w:type="dxa"/>
              <w:bottom w:w="80" w:type="dxa"/>
              <w:end w:w="120" w:type="dxa"/>
            </w:tcMar>
            <w:vAlign w:val="center"/>
          </w:tcPr>
          <w:p>
            <w:pPr>
              <w:spacing w:after="0" w:line="252" w:lineRule="auto"/>
            </w:pPr>
            <w:r>
              <w:rPr>
                <w:rFonts w:ascii="Calibri" w:hAnsi="Calibri"/>
                <w:b w:val="0"/>
                <w:i w:val="0"/>
                <w:color w:val="111111"/>
                <w:sz w:val="19"/>
              </w:rPr>
              <w:t>Nationality</w:t>
            </w:r>
          </w:p>
        </w:tc>
        <w:tc>
          <w:tcPr>
            <w:tcW w:type="dxa" w:w="7160"/>
            <w:tcMar>
              <w:top w:w="80" w:type="dxa"/>
              <w:start w:w="120" w:type="dxa"/>
              <w:bottom w:w="80" w:type="dxa"/>
              <w:end w:w="120" w:type="dxa"/>
            </w:tcMar>
            <w:vAlign w:val="center"/>
          </w:tcPr>
          <w:p>
            <w:pPr>
              <w:spacing w:after="0" w:line="252" w:lineRule="auto"/>
            </w:pPr>
            <w:r>
              <w:rPr>
                <w:rFonts w:ascii="Calibri" w:hAnsi="Calibri"/>
                <w:b w:val="0"/>
                <w:i w:val="0"/>
                <w:color w:val="111111"/>
                <w:sz w:val="19"/>
              </w:rPr>
              <w:t>Lebanese</w:t>
            </w:r>
          </w:p>
        </w:tc>
      </w:tr>
      <w:tr>
        <w:trPr>
          <w:cantSplit/>
        </w:trPr>
        <w:tc>
          <w:tcPr>
            <w:tcW w:type="dxa" w:w="22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9"/>
              </w:rPr>
              <w:t>Current employer</w:t>
            </w:r>
          </w:p>
        </w:tc>
        <w:tc>
          <w:tcPr>
            <w:tcW w:type="dxa" w:w="71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9"/>
              </w:rPr>
              <w:t>Cedars Integrated Consulting S.A.L. - MEP and Critical Systems Director (fictional)</w:t>
            </w:r>
          </w:p>
        </w:tc>
      </w:tr>
      <w:tr>
        <w:trPr>
          <w:cantSplit/>
        </w:trPr>
        <w:tc>
          <w:tcPr>
            <w:tcW w:type="dxa" w:w="2200"/>
            <w:tcMar>
              <w:top w:w="80" w:type="dxa"/>
              <w:start w:w="120" w:type="dxa"/>
              <w:bottom w:w="80" w:type="dxa"/>
              <w:end w:w="120" w:type="dxa"/>
            </w:tcMar>
            <w:vAlign w:val="center"/>
          </w:tcPr>
          <w:p>
            <w:pPr>
              <w:spacing w:after="0" w:line="252" w:lineRule="auto"/>
            </w:pPr>
            <w:r>
              <w:rPr>
                <w:rFonts w:ascii="Calibri" w:hAnsi="Calibri"/>
                <w:b w:val="0"/>
                <w:i w:val="0"/>
                <w:color w:val="111111"/>
                <w:sz w:val="19"/>
              </w:rPr>
              <w:t>Years of experience</w:t>
            </w:r>
          </w:p>
        </w:tc>
        <w:tc>
          <w:tcPr>
            <w:tcW w:type="dxa" w:w="7160"/>
            <w:tcMar>
              <w:top w:w="80" w:type="dxa"/>
              <w:start w:w="120" w:type="dxa"/>
              <w:bottom w:w="80" w:type="dxa"/>
              <w:end w:w="120" w:type="dxa"/>
            </w:tcMar>
            <w:vAlign w:val="center"/>
          </w:tcPr>
          <w:p>
            <w:pPr>
              <w:spacing w:after="0" w:line="252" w:lineRule="auto"/>
            </w:pPr>
            <w:r>
              <w:rPr>
                <w:rFonts w:ascii="Calibri" w:hAnsi="Calibri"/>
                <w:b w:val="0"/>
                <w:i w:val="0"/>
                <w:color w:val="111111"/>
                <w:sz w:val="19"/>
              </w:rPr>
              <w:t>16 years (2010-2026)</w:t>
            </w:r>
          </w:p>
        </w:tc>
      </w:tr>
      <w:tr>
        <w:trPr>
          <w:cantSplit/>
        </w:trPr>
        <w:tc>
          <w:tcPr>
            <w:tcW w:type="dxa" w:w="22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9"/>
              </w:rPr>
              <w:t>Availability / deployment</w:t>
            </w:r>
          </w:p>
        </w:tc>
        <w:tc>
          <w:tcPr>
            <w:tcW w:type="dxa" w:w="71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9"/>
              </w:rPr>
              <w:t>75% design; 35% procurement; milestone inspections plus 70% during MEP testing and commissioning</w:t>
            </w:r>
          </w:p>
        </w:tc>
      </w:tr>
      <w:tr>
        <w:trPr>
          <w:cantSplit/>
        </w:trPr>
        <w:tc>
          <w:tcPr>
            <w:tcW w:type="dxa" w:w="2200"/>
            <w:tcMar>
              <w:top w:w="80" w:type="dxa"/>
              <w:start w:w="120" w:type="dxa"/>
              <w:bottom w:w="80" w:type="dxa"/>
              <w:end w:w="120" w:type="dxa"/>
            </w:tcMar>
            <w:vAlign w:val="center"/>
          </w:tcPr>
          <w:p>
            <w:pPr>
              <w:spacing w:after="0" w:line="252" w:lineRule="auto"/>
            </w:pPr>
            <w:r>
              <w:rPr>
                <w:rFonts w:ascii="Calibri" w:hAnsi="Calibri"/>
                <w:b w:val="0"/>
                <w:i w:val="0"/>
                <w:color w:val="111111"/>
                <w:sz w:val="19"/>
              </w:rPr>
              <w:t>Languages</w:t>
            </w:r>
          </w:p>
        </w:tc>
        <w:tc>
          <w:tcPr>
            <w:tcW w:type="dxa" w:w="7160"/>
            <w:tcMar>
              <w:top w:w="80" w:type="dxa"/>
              <w:start w:w="120" w:type="dxa"/>
              <w:bottom w:w="80" w:type="dxa"/>
              <w:end w:w="120" w:type="dxa"/>
            </w:tcMar>
            <w:vAlign w:val="center"/>
          </w:tcPr>
          <w:p>
            <w:pPr>
              <w:spacing w:after="0" w:line="252" w:lineRule="auto"/>
            </w:pPr>
            <w:r>
              <w:rPr>
                <w:rFonts w:ascii="Calibri" w:hAnsi="Calibri"/>
                <w:b w:val="0"/>
                <w:i w:val="0"/>
                <w:color w:val="111111"/>
                <w:sz w:val="19"/>
              </w:rPr>
              <w:t>Arabic (native), English (fluent), French (professional)</w:t>
            </w:r>
          </w:p>
        </w:tc>
      </w:tr>
    </w:tbl>
    <w:p>
      <w:pPr>
        <w:spacing w:before="0" w:after="40" w:line="300" w:lineRule="auto"/>
      </w:pPr>
    </w:p>
    <w:p>
      <w:pPr>
        <w:pStyle w:val="Heading2"/>
        <w:keepNext/>
      </w:pPr>
      <w:r>
        <w:t>Professional profile</w:t>
      </w:r>
    </w:p>
    <w:p>
      <w:pPr>
        <w:spacing w:before="0" w:after="120" w:line="300" w:lineRule="auto"/>
      </w:pPr>
      <w:r>
        <w:rPr>
          <w:rFonts w:ascii="Calibri" w:hAnsi="Calibri"/>
          <w:b w:val="0"/>
          <w:i w:val="0"/>
          <w:color w:val="111111"/>
          <w:sz w:val="22"/>
        </w:rPr>
        <w:t>Electrical engineer and multidisciplinary MEP coordinator with assumed expertise in high-availability facilities. Her experience covers redundant utility architecture, standby generation, UPS, earthing, power quality, cooling, fire protection, BMS, water systems, energy modeling and integrated testing.</w:t>
      </w:r>
    </w:p>
    <w:p>
      <w:pPr>
        <w:pStyle w:val="Heading2"/>
        <w:keepNext/>
      </w:pPr>
      <w:r>
        <w:t>Education and credentials</w:t>
      </w:r>
    </w:p>
    <w:p>
      <w:pPr>
        <w:spacing w:before="0" w:after="100" w:line="300" w:lineRule="auto"/>
        <w:numPr>
          <w:ilvl w:val="0"/>
          <w:numId w:val="10"/>
        </w:numPr>
      </w:pPr>
      <w:r>
        <w:rPr>
          <w:rFonts w:ascii="Calibri" w:hAnsi="Calibri"/>
          <w:b w:val="0"/>
          <w:i w:val="0"/>
          <w:color w:val="111111"/>
          <w:sz w:val="22"/>
        </w:rPr>
        <w:t>MSc, Electrical Power Engineering, fictional Lebanese university, 2012</w:t>
      </w:r>
    </w:p>
    <w:p>
      <w:pPr>
        <w:spacing w:before="0" w:after="100" w:line="300" w:lineRule="auto"/>
        <w:numPr>
          <w:ilvl w:val="0"/>
          <w:numId w:val="10"/>
        </w:numPr>
      </w:pPr>
      <w:r>
        <w:rPr>
          <w:rFonts w:ascii="Calibri" w:hAnsi="Calibri"/>
          <w:b w:val="0"/>
          <w:i w:val="0"/>
          <w:color w:val="111111"/>
          <w:sz w:val="22"/>
        </w:rPr>
        <w:t>BE, Electrical Engineering, fictional Lebanese university, 2010</w:t>
      </w:r>
    </w:p>
    <w:p>
      <w:pPr>
        <w:spacing w:before="0" w:after="100" w:line="300" w:lineRule="auto"/>
        <w:numPr>
          <w:ilvl w:val="0"/>
          <w:numId w:val="10"/>
        </w:numPr>
      </w:pPr>
      <w:r>
        <w:rPr>
          <w:rFonts w:ascii="Calibri" w:hAnsi="Calibri"/>
          <w:b w:val="0"/>
          <w:i w:val="0"/>
          <w:color w:val="111111"/>
          <w:sz w:val="22"/>
        </w:rPr>
        <w:t>Certified Energy Manager (CEM), assumed current</w:t>
      </w:r>
    </w:p>
    <w:p>
      <w:pPr>
        <w:spacing w:before="0" w:after="100" w:line="300" w:lineRule="auto"/>
        <w:numPr>
          <w:ilvl w:val="0"/>
          <w:numId w:val="10"/>
        </w:numPr>
      </w:pPr>
      <w:r>
        <w:rPr>
          <w:rFonts w:ascii="Calibri" w:hAnsi="Calibri"/>
          <w:b w:val="0"/>
          <w:i w:val="0"/>
          <w:color w:val="111111"/>
          <w:sz w:val="22"/>
        </w:rPr>
        <w:t>Training, Uptime-aligned critical facility design and integrated systems testing</w:t>
      </w:r>
    </w:p>
    <w:p>
      <w:pPr>
        <w:pStyle w:val="Heading2"/>
        <w:keepNext/>
      </w:pPr>
      <w:r>
        <w:t>TOR responsibilities</w:t>
      </w:r>
    </w:p>
    <w:p>
      <w:pPr>
        <w:spacing w:before="0" w:after="100" w:line="300" w:lineRule="auto"/>
        <w:numPr>
          <w:ilvl w:val="0"/>
          <w:numId w:val="10"/>
        </w:numPr>
      </w:pPr>
      <w:r>
        <w:rPr>
          <w:rFonts w:ascii="Calibri" w:hAnsi="Calibri"/>
          <w:b w:val="0"/>
          <w:i w:val="0"/>
          <w:color w:val="111111"/>
          <w:sz w:val="22"/>
        </w:rPr>
        <w:t>Lead integrated MEP basis of design, calculations, schematics, layouts and schedules</w:t>
      </w:r>
    </w:p>
    <w:p>
      <w:pPr>
        <w:spacing w:before="0" w:after="100" w:line="300" w:lineRule="auto"/>
        <w:numPr>
          <w:ilvl w:val="0"/>
          <w:numId w:val="10"/>
        </w:numPr>
      </w:pPr>
      <w:r>
        <w:rPr>
          <w:rFonts w:ascii="Calibri" w:hAnsi="Calibri"/>
          <w:b w:val="0"/>
          <w:i w:val="0"/>
          <w:color w:val="111111"/>
          <w:sz w:val="22"/>
        </w:rPr>
        <w:t>Define redundancy, maintainability, metering, energy performance and climate suitability</w:t>
      </w:r>
    </w:p>
    <w:p>
      <w:pPr>
        <w:spacing w:before="0" w:after="100" w:line="300" w:lineRule="auto"/>
        <w:numPr>
          <w:ilvl w:val="0"/>
          <w:numId w:val="10"/>
        </w:numPr>
      </w:pPr>
      <w:r>
        <w:rPr>
          <w:rFonts w:ascii="Calibri" w:hAnsi="Calibri"/>
          <w:b w:val="0"/>
          <w:i w:val="0"/>
          <w:color w:val="111111"/>
          <w:sz w:val="22"/>
        </w:rPr>
        <w:t>Coordinate power/cooling needs for data center, network and security systems</w:t>
      </w:r>
    </w:p>
    <w:p>
      <w:pPr>
        <w:spacing w:before="0" w:after="100" w:line="300" w:lineRule="auto"/>
        <w:numPr>
          <w:ilvl w:val="0"/>
          <w:numId w:val="10"/>
        </w:numPr>
      </w:pPr>
      <w:r>
        <w:rPr>
          <w:rFonts w:ascii="Calibri" w:hAnsi="Calibri"/>
          <w:b w:val="0"/>
          <w:i w:val="0"/>
          <w:color w:val="111111"/>
          <w:sz w:val="22"/>
        </w:rPr>
        <w:t>Prepare specifications, BOQ inputs and tender clarifications</w:t>
      </w:r>
    </w:p>
    <w:p>
      <w:pPr>
        <w:spacing w:before="0" w:after="100" w:line="300" w:lineRule="auto"/>
        <w:numPr>
          <w:ilvl w:val="0"/>
          <w:numId w:val="10"/>
        </w:numPr>
      </w:pPr>
      <w:r>
        <w:rPr>
          <w:rFonts w:ascii="Calibri" w:hAnsi="Calibri"/>
          <w:b w:val="0"/>
          <w:i w:val="0"/>
          <w:color w:val="111111"/>
          <w:sz w:val="22"/>
        </w:rPr>
        <w:t>Review submittals and lead MEP testing, commissioning, O&amp;M and training acceptance</w:t>
      </w:r>
    </w:p>
    <w:p>
      <w:pPr>
        <w:pStyle w:val="Heading2"/>
        <w:keepNext/>
      </w:pPr>
      <w:r>
        <w:t>Employment record</w:t>
      </w:r>
    </w:p>
    <w:tbl>
      <w:tblPr>
        <w:tblStyle w:val="TableGrid"/>
        <w:tblW w:type="dxa" w:w="9360"/>
        <w:jc w:val="left"/>
        <w:tblLayout w:type="fixed"/>
        <w:tblLook w:firstColumn="1" w:firstRow="1" w:lastColumn="0" w:lastRow="0" w:noHBand="0" w:noVBand="1" w:val="04A0"/>
        <w:tblInd w:w="120" w:type="dxa"/>
      </w:tblPr>
      <w:tblGrid>
        <w:gridCol w:w="1500"/>
        <w:gridCol w:w="3200"/>
        <w:gridCol w:w="4660"/>
      </w:tblGrid>
      <w:tr>
        <w:trPr>
          <w:tblHeader w:val="true"/>
          <w:cantSplit/>
        </w:trPr>
        <w:tc>
          <w:tcPr>
            <w:tcW w:type="dxa" w:w="1500"/>
            <w:shd w:fill="18324A"/>
            <w:tcMar>
              <w:top w:w="80" w:type="dxa"/>
              <w:start w:w="120" w:type="dxa"/>
              <w:bottom w:w="80" w:type="dxa"/>
              <w:end w:w="120" w:type="dxa"/>
            </w:tcMar>
            <w:vAlign w:val="center"/>
          </w:tcPr>
          <w:p>
            <w:pPr>
              <w:spacing w:after="0"/>
              <w:jc w:val="center"/>
            </w:pPr>
            <w:r>
              <w:rPr>
                <w:rFonts w:ascii="Calibri" w:hAnsi="Calibri"/>
                <w:b/>
                <w:i w:val="0"/>
                <w:color w:val="FFFFFF"/>
                <w:sz w:val="17"/>
              </w:rPr>
              <w:t>Period</w:t>
            </w:r>
          </w:p>
        </w:tc>
        <w:tc>
          <w:tcPr>
            <w:tcW w:type="dxa" w:w="3200"/>
            <w:shd w:fill="18324A"/>
            <w:tcMar>
              <w:top w:w="80" w:type="dxa"/>
              <w:start w:w="120" w:type="dxa"/>
              <w:bottom w:w="80" w:type="dxa"/>
              <w:end w:w="120" w:type="dxa"/>
            </w:tcMar>
            <w:vAlign w:val="center"/>
          </w:tcPr>
          <w:p>
            <w:pPr>
              <w:spacing w:after="0"/>
              <w:jc w:val="center"/>
            </w:pPr>
            <w:r>
              <w:rPr>
                <w:rFonts w:ascii="Calibri" w:hAnsi="Calibri"/>
                <w:b/>
                <w:i w:val="0"/>
                <w:color w:val="FFFFFF"/>
                <w:sz w:val="17"/>
              </w:rPr>
              <w:t>Organization / position</w:t>
            </w:r>
          </w:p>
        </w:tc>
        <w:tc>
          <w:tcPr>
            <w:tcW w:type="dxa" w:w="4660"/>
            <w:shd w:fill="18324A"/>
            <w:tcMar>
              <w:top w:w="80" w:type="dxa"/>
              <w:start w:w="120" w:type="dxa"/>
              <w:bottom w:w="80" w:type="dxa"/>
              <w:end w:w="120" w:type="dxa"/>
            </w:tcMar>
            <w:vAlign w:val="center"/>
          </w:tcPr>
          <w:p>
            <w:pPr>
              <w:spacing w:after="0"/>
              <w:jc w:val="center"/>
            </w:pPr>
            <w:r>
              <w:rPr>
                <w:rFonts w:ascii="Calibri" w:hAnsi="Calibri"/>
                <w:b/>
                <w:i w:val="0"/>
                <w:color w:val="FFFFFF"/>
                <w:sz w:val="17"/>
              </w:rPr>
              <w:t>Selected responsibility</w:t>
            </w:r>
          </w:p>
        </w:tc>
      </w:tr>
      <w:tr>
        <w:trPr>
          <w:cantSplit/>
        </w:trPr>
        <w:tc>
          <w:tcPr>
            <w:tcW w:type="dxa" w:w="1500"/>
            <w:tcMar>
              <w:top w:w="80" w:type="dxa"/>
              <w:start w:w="120" w:type="dxa"/>
              <w:bottom w:w="80" w:type="dxa"/>
              <w:end w:w="120" w:type="dxa"/>
            </w:tcMar>
            <w:vAlign w:val="center"/>
          </w:tcPr>
          <w:p>
            <w:pPr>
              <w:spacing w:after="0" w:line="252" w:lineRule="auto"/>
            </w:pPr>
            <w:r>
              <w:rPr>
                <w:rFonts w:ascii="Calibri" w:hAnsi="Calibri"/>
                <w:b w:val="0"/>
                <w:i w:val="0"/>
                <w:color w:val="111111"/>
                <w:sz w:val="17"/>
              </w:rPr>
              <w:t>2018-present</w:t>
            </w:r>
          </w:p>
        </w:tc>
        <w:tc>
          <w:tcPr>
            <w:tcW w:type="dxa" w:w="3200"/>
            <w:tcMar>
              <w:top w:w="80" w:type="dxa"/>
              <w:start w:w="120" w:type="dxa"/>
              <w:bottom w:w="80" w:type="dxa"/>
              <w:end w:w="120" w:type="dxa"/>
            </w:tcMar>
            <w:vAlign w:val="center"/>
          </w:tcPr>
          <w:p>
            <w:pPr>
              <w:spacing w:after="0" w:line="252" w:lineRule="auto"/>
            </w:pPr>
            <w:r>
              <w:rPr>
                <w:rFonts w:ascii="Calibri" w:hAnsi="Calibri"/>
                <w:b w:val="0"/>
                <w:i w:val="0"/>
                <w:color w:val="111111"/>
                <w:sz w:val="17"/>
              </w:rPr>
              <w:t>Cedars Integrated Consulting - MEP Director</w:t>
            </w:r>
          </w:p>
        </w:tc>
        <w:tc>
          <w:tcPr>
            <w:tcW w:type="dxa" w:w="4660"/>
            <w:tcMar>
              <w:top w:w="80" w:type="dxa"/>
              <w:start w:w="120" w:type="dxa"/>
              <w:bottom w:w="80" w:type="dxa"/>
              <w:end w:w="120" w:type="dxa"/>
            </w:tcMar>
            <w:vAlign w:val="center"/>
          </w:tcPr>
          <w:p>
            <w:pPr>
              <w:spacing w:after="0" w:line="252" w:lineRule="auto"/>
            </w:pPr>
            <w:r>
              <w:rPr>
                <w:rFonts w:ascii="Calibri" w:hAnsi="Calibri"/>
                <w:b w:val="0"/>
                <w:i w:val="0"/>
                <w:color w:val="111111"/>
                <w:sz w:val="17"/>
              </w:rPr>
              <w:t>Mission-critical MEP design and commissioning</w:t>
            </w:r>
          </w:p>
        </w:tc>
      </w:tr>
      <w:tr>
        <w:trPr>
          <w:cantSplit/>
        </w:trPr>
        <w:tc>
          <w:tcPr>
            <w:tcW w:type="dxa" w:w="15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7"/>
              </w:rPr>
              <w:t>2013-2018</w:t>
            </w:r>
          </w:p>
        </w:tc>
        <w:tc>
          <w:tcPr>
            <w:tcW w:type="dxa" w:w="32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7"/>
              </w:rPr>
              <w:t>Fictional EnerSys Consultants - Senior Electrical Engineer</w:t>
            </w:r>
          </w:p>
        </w:tc>
        <w:tc>
          <w:tcPr>
            <w:tcW w:type="dxa" w:w="46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7"/>
              </w:rPr>
              <w:t>Power, backup systems and multidisciplinary coordination</w:t>
            </w:r>
          </w:p>
        </w:tc>
      </w:tr>
      <w:tr>
        <w:trPr>
          <w:cantSplit/>
        </w:trPr>
        <w:tc>
          <w:tcPr>
            <w:tcW w:type="dxa" w:w="1500"/>
            <w:tcMar>
              <w:top w:w="80" w:type="dxa"/>
              <w:start w:w="120" w:type="dxa"/>
              <w:bottom w:w="80" w:type="dxa"/>
              <w:end w:w="120" w:type="dxa"/>
            </w:tcMar>
            <w:vAlign w:val="center"/>
          </w:tcPr>
          <w:p>
            <w:pPr>
              <w:spacing w:after="0" w:line="252" w:lineRule="auto"/>
            </w:pPr>
            <w:r>
              <w:rPr>
                <w:rFonts w:ascii="Calibri" w:hAnsi="Calibri"/>
                <w:b w:val="0"/>
                <w:i w:val="0"/>
                <w:color w:val="111111"/>
                <w:sz w:val="17"/>
              </w:rPr>
              <w:t>2010-2013</w:t>
            </w:r>
          </w:p>
        </w:tc>
        <w:tc>
          <w:tcPr>
            <w:tcW w:type="dxa" w:w="3200"/>
            <w:tcMar>
              <w:top w:w="80" w:type="dxa"/>
              <w:start w:w="120" w:type="dxa"/>
              <w:bottom w:w="80" w:type="dxa"/>
              <w:end w:w="120" w:type="dxa"/>
            </w:tcMar>
            <w:vAlign w:val="center"/>
          </w:tcPr>
          <w:p>
            <w:pPr>
              <w:spacing w:after="0" w:line="252" w:lineRule="auto"/>
            </w:pPr>
            <w:r>
              <w:rPr>
                <w:rFonts w:ascii="Calibri" w:hAnsi="Calibri"/>
                <w:b w:val="0"/>
                <w:i w:val="0"/>
                <w:color w:val="111111"/>
                <w:sz w:val="17"/>
              </w:rPr>
              <w:t>Fictional MEP Design House - Electrical Engineer</w:t>
            </w:r>
          </w:p>
        </w:tc>
        <w:tc>
          <w:tcPr>
            <w:tcW w:type="dxa" w:w="4660"/>
            <w:tcMar>
              <w:top w:w="80" w:type="dxa"/>
              <w:start w:w="120" w:type="dxa"/>
              <w:bottom w:w="80" w:type="dxa"/>
              <w:end w:w="120" w:type="dxa"/>
            </w:tcMar>
            <w:vAlign w:val="center"/>
          </w:tcPr>
          <w:p>
            <w:pPr>
              <w:spacing w:after="0" w:line="252" w:lineRule="auto"/>
            </w:pPr>
            <w:r>
              <w:rPr>
                <w:rFonts w:ascii="Calibri" w:hAnsi="Calibri"/>
                <w:b w:val="0"/>
                <w:i w:val="0"/>
                <w:color w:val="111111"/>
                <w:sz w:val="17"/>
              </w:rPr>
              <w:t>Design calculations, drawings and site inspections</w:t>
            </w:r>
          </w:p>
        </w:tc>
      </w:tr>
    </w:tbl>
    <w:p>
      <w:pPr>
        <w:spacing w:before="0" w:after="40" w:line="300" w:lineRule="auto"/>
      </w:pPr>
    </w:p>
    <w:p>
      <w:pPr>
        <w:pStyle w:val="Heading2"/>
        <w:keepNext/>
      </w:pPr>
      <w:r>
        <w:t>Most relevant assignments</w:t>
      </w:r>
    </w:p>
    <w:tbl>
      <w:tblPr>
        <w:tblStyle w:val="TableGrid"/>
        <w:tblW w:type="dxa" w:w="9360"/>
        <w:jc w:val="left"/>
        <w:tblLayout w:type="fixed"/>
        <w:tblLook w:firstColumn="1" w:firstRow="1" w:lastColumn="0" w:lastRow="0" w:noHBand="0" w:noVBand="1" w:val="04A0"/>
        <w:tblInd w:w="120" w:type="dxa"/>
      </w:tblPr>
      <w:tblGrid>
        <w:gridCol w:w="1500"/>
        <w:gridCol w:w="3300"/>
        <w:gridCol w:w="4560"/>
      </w:tblGrid>
      <w:tr>
        <w:trPr>
          <w:tblHeader w:val="true"/>
          <w:cantSplit/>
        </w:trPr>
        <w:tc>
          <w:tcPr>
            <w:tcW w:type="dxa" w:w="1500"/>
            <w:shd w:fill="18324A"/>
            <w:tcMar>
              <w:top w:w="80" w:type="dxa"/>
              <w:start w:w="120" w:type="dxa"/>
              <w:bottom w:w="80" w:type="dxa"/>
              <w:end w:w="120" w:type="dxa"/>
            </w:tcMar>
            <w:vAlign w:val="center"/>
          </w:tcPr>
          <w:p>
            <w:pPr>
              <w:spacing w:after="0"/>
              <w:jc w:val="center"/>
            </w:pPr>
            <w:r>
              <w:rPr>
                <w:rFonts w:ascii="Calibri" w:hAnsi="Calibri"/>
                <w:b/>
                <w:i w:val="0"/>
                <w:color w:val="FFFFFF"/>
                <w:sz w:val="16"/>
              </w:rPr>
              <w:t>Year / location</w:t>
            </w:r>
          </w:p>
        </w:tc>
        <w:tc>
          <w:tcPr>
            <w:tcW w:type="dxa" w:w="3300"/>
            <w:shd w:fill="18324A"/>
            <w:tcMar>
              <w:top w:w="80" w:type="dxa"/>
              <w:start w:w="120" w:type="dxa"/>
              <w:bottom w:w="80" w:type="dxa"/>
              <w:end w:w="120" w:type="dxa"/>
            </w:tcMar>
            <w:vAlign w:val="center"/>
          </w:tcPr>
          <w:p>
            <w:pPr>
              <w:spacing w:after="0"/>
              <w:jc w:val="center"/>
            </w:pPr>
            <w:r>
              <w:rPr>
                <w:rFonts w:ascii="Calibri" w:hAnsi="Calibri"/>
                <w:b/>
                <w:i w:val="0"/>
                <w:color w:val="FFFFFF"/>
                <w:sz w:val="16"/>
              </w:rPr>
              <w:t>Fictional assignment and client</w:t>
            </w:r>
          </w:p>
        </w:tc>
        <w:tc>
          <w:tcPr>
            <w:tcW w:type="dxa" w:w="4560"/>
            <w:shd w:fill="18324A"/>
            <w:tcMar>
              <w:top w:w="80" w:type="dxa"/>
              <w:start w:w="120" w:type="dxa"/>
              <w:bottom w:w="80" w:type="dxa"/>
              <w:end w:w="120" w:type="dxa"/>
            </w:tcMar>
            <w:vAlign w:val="center"/>
          </w:tcPr>
          <w:p>
            <w:pPr>
              <w:spacing w:after="0"/>
              <w:jc w:val="center"/>
            </w:pPr>
            <w:r>
              <w:rPr>
                <w:rFonts w:ascii="Calibri" w:hAnsi="Calibri"/>
                <w:b/>
                <w:i w:val="0"/>
                <w:color w:val="FFFFFF"/>
                <w:sz w:val="16"/>
              </w:rPr>
              <w:t>Role and relevance</w:t>
            </w:r>
          </w:p>
        </w:tc>
      </w:tr>
      <w:tr>
        <w:trPr>
          <w:cantSplit/>
        </w:trPr>
        <w:tc>
          <w:tcPr>
            <w:tcW w:type="dxa" w:w="1500"/>
            <w:tcMar>
              <w:top w:w="80" w:type="dxa"/>
              <w:start w:w="120" w:type="dxa"/>
              <w:bottom w:w="80" w:type="dxa"/>
              <w:end w:w="120" w:type="dxa"/>
            </w:tcMar>
            <w:vAlign w:val="center"/>
          </w:tcPr>
          <w:p>
            <w:pPr>
              <w:spacing w:after="0" w:line="252" w:lineRule="auto"/>
            </w:pPr>
            <w:r>
              <w:rPr>
                <w:rFonts w:ascii="Calibri" w:hAnsi="Calibri"/>
                <w:b w:val="0"/>
                <w:i w:val="0"/>
                <w:color w:val="111111"/>
                <w:sz w:val="16"/>
              </w:rPr>
              <w:t>2022-2025 / Cyprus</w:t>
            </w:r>
          </w:p>
        </w:tc>
        <w:tc>
          <w:tcPr>
            <w:tcW w:type="dxa" w:w="3300"/>
            <w:tcMar>
              <w:top w:w="80" w:type="dxa"/>
              <w:start w:w="120" w:type="dxa"/>
              <w:bottom w:w="80" w:type="dxa"/>
              <w:end w:w="120" w:type="dxa"/>
            </w:tcMar>
            <w:vAlign w:val="center"/>
          </w:tcPr>
          <w:p>
            <w:pPr>
              <w:spacing w:after="0" w:line="252" w:lineRule="auto"/>
            </w:pPr>
            <w:r>
              <w:rPr>
                <w:rFonts w:ascii="Calibri" w:hAnsi="Calibri"/>
                <w:b w:val="0"/>
                <w:i w:val="0"/>
                <w:color w:val="111111"/>
                <w:sz w:val="16"/>
              </w:rPr>
              <w:t>Eastern Mediterranean Clearing House Operations Centre</w:t>
            </w:r>
          </w:p>
        </w:tc>
        <w:tc>
          <w:tcPr>
            <w:tcW w:type="dxa" w:w="4560"/>
            <w:tcMar>
              <w:top w:w="80" w:type="dxa"/>
              <w:start w:w="120" w:type="dxa"/>
              <w:bottom w:w="80" w:type="dxa"/>
              <w:end w:w="120" w:type="dxa"/>
            </w:tcMar>
            <w:vAlign w:val="center"/>
          </w:tcPr>
          <w:p>
            <w:pPr>
              <w:spacing w:after="0" w:line="252" w:lineRule="auto"/>
            </w:pPr>
            <w:r>
              <w:rPr>
                <w:rFonts w:ascii="Calibri" w:hAnsi="Calibri"/>
                <w:b w:val="0"/>
                <w:i w:val="0"/>
                <w:color w:val="111111"/>
                <w:sz w:val="16"/>
              </w:rPr>
              <w:t>MEP lead; N+1 cooling, UPS/generators and integrated testing</w:t>
            </w:r>
          </w:p>
        </w:tc>
      </w:tr>
      <w:tr>
        <w:trPr>
          <w:cantSplit/>
        </w:trPr>
        <w:tc>
          <w:tcPr>
            <w:tcW w:type="dxa" w:w="15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2019-2023 / Jordan</w:t>
            </w:r>
          </w:p>
        </w:tc>
        <w:tc>
          <w:tcPr>
            <w:tcW w:type="dxa" w:w="33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National Digital Services Campus</w:t>
            </w:r>
          </w:p>
        </w:tc>
        <w:tc>
          <w:tcPr>
            <w:tcW w:type="dxa" w:w="45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Critical systems lead; redundant electrical and cooling infrastructure</w:t>
            </w:r>
          </w:p>
        </w:tc>
      </w:tr>
      <w:tr>
        <w:trPr>
          <w:cantSplit/>
        </w:trPr>
        <w:tc>
          <w:tcPr>
            <w:tcW w:type="dxa" w:w="1500"/>
            <w:tcMar>
              <w:top w:w="80" w:type="dxa"/>
              <w:start w:w="120" w:type="dxa"/>
              <w:bottom w:w="80" w:type="dxa"/>
              <w:end w:w="120" w:type="dxa"/>
            </w:tcMar>
            <w:vAlign w:val="center"/>
          </w:tcPr>
          <w:p>
            <w:pPr>
              <w:spacing w:after="0" w:line="252" w:lineRule="auto"/>
            </w:pPr>
            <w:r>
              <w:rPr>
                <w:rFonts w:ascii="Calibri" w:hAnsi="Calibri"/>
                <w:b w:val="0"/>
                <w:i w:val="0"/>
                <w:color w:val="111111"/>
                <w:sz w:val="16"/>
              </w:rPr>
              <w:t>2018-2021 / Lebanon</w:t>
            </w:r>
          </w:p>
        </w:tc>
        <w:tc>
          <w:tcPr>
            <w:tcW w:type="dxa" w:w="3300"/>
            <w:tcMar>
              <w:top w:w="80" w:type="dxa"/>
              <w:start w:w="120" w:type="dxa"/>
              <w:bottom w:w="80" w:type="dxa"/>
              <w:end w:w="120" w:type="dxa"/>
            </w:tcMar>
            <w:vAlign w:val="center"/>
          </w:tcPr>
          <w:p>
            <w:pPr>
              <w:spacing w:after="0" w:line="252" w:lineRule="auto"/>
            </w:pPr>
            <w:r>
              <w:rPr>
                <w:rFonts w:ascii="Calibri" w:hAnsi="Calibri"/>
                <w:b w:val="0"/>
                <w:i w:val="0"/>
                <w:color w:val="111111"/>
                <w:sz w:val="16"/>
              </w:rPr>
              <w:t>Banque du Levant Resilience Centre</w:t>
            </w:r>
          </w:p>
        </w:tc>
        <w:tc>
          <w:tcPr>
            <w:tcW w:type="dxa" w:w="4560"/>
            <w:tcMar>
              <w:top w:w="80" w:type="dxa"/>
              <w:start w:w="120" w:type="dxa"/>
              <w:bottom w:w="80" w:type="dxa"/>
              <w:end w:w="120" w:type="dxa"/>
            </w:tcMar>
            <w:vAlign w:val="center"/>
          </w:tcPr>
          <w:p>
            <w:pPr>
              <w:spacing w:after="0" w:line="252" w:lineRule="auto"/>
            </w:pPr>
            <w:r>
              <w:rPr>
                <w:rFonts w:ascii="Calibri" w:hAnsi="Calibri"/>
                <w:b w:val="0"/>
                <w:i w:val="0"/>
                <w:color w:val="111111"/>
                <w:sz w:val="16"/>
              </w:rPr>
              <w:t>MEP manager; high availability, power quality and commissioning</w:t>
            </w:r>
          </w:p>
        </w:tc>
      </w:tr>
      <w:tr>
        <w:trPr>
          <w:cantSplit/>
        </w:trPr>
        <w:tc>
          <w:tcPr>
            <w:tcW w:type="dxa" w:w="15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2021-2024 / Ghana</w:t>
            </w:r>
          </w:p>
        </w:tc>
        <w:tc>
          <w:tcPr>
            <w:tcW w:type="dxa" w:w="33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West Africa Revenue Authority Headquarters</w:t>
            </w:r>
          </w:p>
        </w:tc>
        <w:tc>
          <w:tcPr>
            <w:tcW w:type="dxa" w:w="45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MEP design reviewer; energy and systems integration</w:t>
            </w:r>
          </w:p>
        </w:tc>
      </w:tr>
    </w:tbl>
    <w:p>
      <w:pPr>
        <w:spacing w:before="0" w:after="40" w:line="300" w:lineRule="auto"/>
      </w:pPr>
    </w:p>
    <w:p>
      <w:pPr>
        <w:pStyle w:val="Heading2"/>
        <w:keepNext/>
      </w:pPr>
      <w:r>
        <w:t>Evidence to attach before a real submission</w:t>
      </w:r>
    </w:p>
    <w:p>
      <w:pPr>
        <w:spacing w:before="0" w:after="100" w:line="300" w:lineRule="auto"/>
        <w:numPr>
          <w:ilvl w:val="0"/>
          <w:numId w:val="10"/>
        </w:numPr>
      </w:pPr>
      <w:r>
        <w:rPr>
          <w:rFonts w:ascii="Calibri" w:hAnsi="Calibri"/>
          <w:b w:val="0"/>
          <w:i w:val="0"/>
          <w:color w:val="111111"/>
          <w:sz w:val="22"/>
        </w:rPr>
        <w:t>Engineering degree and CEM verification</w:t>
      </w:r>
    </w:p>
    <w:p>
      <w:pPr>
        <w:spacing w:before="0" w:after="100" w:line="300" w:lineRule="auto"/>
        <w:numPr>
          <w:ilvl w:val="0"/>
          <w:numId w:val="10"/>
        </w:numPr>
      </w:pPr>
      <w:r>
        <w:rPr>
          <w:rFonts w:ascii="Calibri" w:hAnsi="Calibri"/>
          <w:b w:val="0"/>
          <w:i w:val="0"/>
          <w:color w:val="111111"/>
          <w:sz w:val="22"/>
        </w:rPr>
        <w:t>Professional registration where required</w:t>
      </w:r>
    </w:p>
    <w:p>
      <w:pPr>
        <w:spacing w:before="0" w:after="100" w:line="300" w:lineRule="auto"/>
        <w:numPr>
          <w:ilvl w:val="0"/>
          <w:numId w:val="10"/>
        </w:numPr>
      </w:pPr>
      <w:r>
        <w:rPr>
          <w:rFonts w:ascii="Calibri" w:hAnsi="Calibri"/>
          <w:b w:val="0"/>
          <w:i w:val="0"/>
          <w:color w:val="111111"/>
          <w:sz w:val="22"/>
        </w:rPr>
        <w:t>System design narratives showing personal responsibility</w:t>
      </w:r>
    </w:p>
    <w:p>
      <w:pPr>
        <w:spacing w:before="0" w:after="100" w:line="300" w:lineRule="auto"/>
        <w:numPr>
          <w:ilvl w:val="0"/>
          <w:numId w:val="10"/>
        </w:numPr>
      </w:pPr>
      <w:r>
        <w:rPr>
          <w:rFonts w:ascii="Calibri" w:hAnsi="Calibri"/>
          <w:b w:val="0"/>
          <w:i w:val="0"/>
          <w:color w:val="111111"/>
          <w:sz w:val="22"/>
        </w:rPr>
        <w:t>Testing/commissioning certificates and client references</w:t>
      </w:r>
    </w:p>
    <w:p>
      <w:pPr>
        <w:spacing w:before="0" w:after="100" w:line="300" w:lineRule="auto"/>
        <w:numPr>
          <w:ilvl w:val="0"/>
          <w:numId w:val="10"/>
        </w:numPr>
      </w:pPr>
      <w:r>
        <w:rPr>
          <w:rFonts w:ascii="Calibri" w:hAnsi="Calibri"/>
          <w:b w:val="0"/>
          <w:i w:val="0"/>
          <w:color w:val="111111"/>
          <w:sz w:val="22"/>
        </w:rPr>
        <w:t>Signed CV and availability statement</w:t>
      </w:r>
    </w:p>
    <w:tbl>
      <w:tblPr>
        <w:tblW w:type="dxa" w:w="9360"/>
        <w:jc w:val="left"/>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vAlign w:val="center"/>
            <w:shd w:fill="FFF7E6"/>
          </w:tcPr>
          <w:p>
            <w:pPr>
              <w:spacing w:after="40"/>
            </w:pPr>
            <w:r>
              <w:rPr>
                <w:rFonts w:ascii="Calibri" w:hAnsi="Calibri"/>
                <w:b/>
                <w:i w:val="0"/>
                <w:color w:val="B58220"/>
                <w:sz w:val="22"/>
              </w:rPr>
              <w:t xml:space="preserve">CV declaration: </w:t>
            </w:r>
            <w:r>
              <w:rPr>
                <w:rFonts w:ascii="Calibri" w:hAnsi="Calibri"/>
                <w:b w:val="0"/>
                <w:i w:val="0"/>
                <w:color w:val="111111"/>
                <w:sz w:val="22"/>
              </w:rPr>
              <w:t>This teaching CV is fictional. In a real bid, the expert must review and sign a truthful CV; the bidder must verify degrees, registrations, certifications, employment, availability, and project references.</w:t>
            </w:r>
          </w:p>
        </w:tc>
      </w:tr>
    </w:tbl>
    <w:p>
      <w:pPr>
        <w:spacing w:before="0" w:after="40" w:line="300" w:lineRule="auto"/>
      </w:pPr>
    </w:p>
    <w:p>
      <w:r>
        <w:br w:type="page"/>
      </w:r>
    </w:p>
    <w:p>
      <w:pPr>
        <w:spacing w:before="0" w:after="40" w:line="300" w:lineRule="auto"/>
      </w:pPr>
      <w:r>
        <w:rPr>
          <w:rFonts w:ascii="Calibri" w:hAnsi="Calibri"/>
          <w:b/>
          <w:i w:val="0"/>
          <w:color w:val="167D8D"/>
          <w:sz w:val="18"/>
        </w:rPr>
        <w:t>CURRICULUM VITAE | KEY EXPERT</w:t>
      </w:r>
    </w:p>
    <w:p>
      <w:pPr>
        <w:spacing w:before="0" w:after="40" w:line="300" w:lineRule="auto"/>
      </w:pPr>
      <w:r>
        <w:rPr>
          <w:rFonts w:ascii="Calibri" w:hAnsi="Calibri"/>
          <w:b/>
          <w:i w:val="0"/>
          <w:color w:val="18324A"/>
          <w:sz w:val="44"/>
        </w:rPr>
        <w:t>Eng. Samuel T. Kpadeh</w:t>
      </w:r>
    </w:p>
    <w:p>
      <w:pPr>
        <w:spacing w:before="0" w:after="200" w:line="300" w:lineRule="auto"/>
      </w:pPr>
      <w:r>
        <w:rPr>
          <w:rFonts w:ascii="Calibri" w:hAnsi="Calibri"/>
          <w:b/>
          <w:i w:val="0"/>
          <w:color w:val="2E74B5"/>
          <w:sz w:val="26"/>
        </w:rPr>
        <w:t>K-5 - Construction / Site Supervision Engineer</w:t>
      </w:r>
    </w:p>
    <w:tbl>
      <w:tblPr>
        <w:tblStyle w:val="TableGrid"/>
        <w:tblW w:type="dxa" w:w="9360"/>
        <w:jc w:val="left"/>
        <w:tblLayout w:type="fixed"/>
        <w:tblLook w:firstColumn="1" w:firstRow="1" w:lastColumn="0" w:lastRow="0" w:noHBand="0" w:noVBand="1" w:val="04A0"/>
        <w:tblInd w:w="120" w:type="dxa"/>
      </w:tblPr>
      <w:tblGrid>
        <w:gridCol w:w="2200"/>
        <w:gridCol w:w="7160"/>
      </w:tblGrid>
      <w:tr>
        <w:trPr>
          <w:tblHeader w:val="true"/>
          <w:cantSplit/>
        </w:trPr>
        <w:tc>
          <w:tcPr>
            <w:tcW w:type="dxa" w:w="2200"/>
            <w:shd w:fill="18324A"/>
            <w:tcMar>
              <w:top w:w="80" w:type="dxa"/>
              <w:start w:w="120" w:type="dxa"/>
              <w:bottom w:w="80" w:type="dxa"/>
              <w:end w:w="120" w:type="dxa"/>
            </w:tcMar>
            <w:vAlign w:val="center"/>
          </w:tcPr>
          <w:p>
            <w:pPr>
              <w:spacing w:after="0"/>
              <w:jc w:val="center"/>
            </w:pPr>
            <w:r>
              <w:rPr>
                <w:rFonts w:ascii="Calibri" w:hAnsi="Calibri"/>
                <w:b/>
                <w:i w:val="0"/>
                <w:color w:val="FFFFFF"/>
                <w:sz w:val="19"/>
              </w:rPr>
              <w:t>Field</w:t>
            </w:r>
          </w:p>
        </w:tc>
        <w:tc>
          <w:tcPr>
            <w:tcW w:type="dxa" w:w="7160"/>
            <w:shd w:fill="18324A"/>
            <w:tcMar>
              <w:top w:w="80" w:type="dxa"/>
              <w:start w:w="120" w:type="dxa"/>
              <w:bottom w:w="80" w:type="dxa"/>
              <w:end w:w="120" w:type="dxa"/>
            </w:tcMar>
            <w:vAlign w:val="center"/>
          </w:tcPr>
          <w:p>
            <w:pPr>
              <w:spacing w:after="0"/>
              <w:jc w:val="center"/>
            </w:pPr>
            <w:r>
              <w:rPr>
                <w:rFonts w:ascii="Calibri" w:hAnsi="Calibri"/>
                <w:b/>
                <w:i w:val="0"/>
                <w:color w:val="FFFFFF"/>
                <w:sz w:val="19"/>
              </w:rPr>
              <w:t>Details</w:t>
            </w:r>
          </w:p>
        </w:tc>
      </w:tr>
      <w:tr>
        <w:trPr>
          <w:cantSplit/>
        </w:trPr>
        <w:tc>
          <w:tcPr>
            <w:tcW w:type="dxa" w:w="2200"/>
            <w:tcMar>
              <w:top w:w="80" w:type="dxa"/>
              <w:start w:w="120" w:type="dxa"/>
              <w:bottom w:w="80" w:type="dxa"/>
              <w:end w:w="120" w:type="dxa"/>
            </w:tcMar>
            <w:vAlign w:val="center"/>
          </w:tcPr>
          <w:p>
            <w:pPr>
              <w:spacing w:after="0" w:line="252" w:lineRule="auto"/>
            </w:pPr>
            <w:r>
              <w:rPr>
                <w:rFonts w:ascii="Calibri" w:hAnsi="Calibri"/>
                <w:b w:val="0"/>
                <w:i w:val="0"/>
                <w:color w:val="111111"/>
                <w:sz w:val="19"/>
              </w:rPr>
              <w:t>Nationality</w:t>
            </w:r>
          </w:p>
        </w:tc>
        <w:tc>
          <w:tcPr>
            <w:tcW w:type="dxa" w:w="7160"/>
            <w:tcMar>
              <w:top w:w="80" w:type="dxa"/>
              <w:start w:w="120" w:type="dxa"/>
              <w:bottom w:w="80" w:type="dxa"/>
              <w:end w:w="120" w:type="dxa"/>
            </w:tcMar>
            <w:vAlign w:val="center"/>
          </w:tcPr>
          <w:p>
            <w:pPr>
              <w:spacing w:after="0" w:line="252" w:lineRule="auto"/>
            </w:pPr>
            <w:r>
              <w:rPr>
                <w:rFonts w:ascii="Calibri" w:hAnsi="Calibri"/>
                <w:b w:val="0"/>
                <w:i w:val="0"/>
                <w:color w:val="111111"/>
                <w:sz w:val="19"/>
              </w:rPr>
              <w:t>Liberian</w:t>
            </w:r>
          </w:p>
        </w:tc>
      </w:tr>
      <w:tr>
        <w:trPr>
          <w:cantSplit/>
        </w:trPr>
        <w:tc>
          <w:tcPr>
            <w:tcW w:type="dxa" w:w="22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9"/>
              </w:rPr>
              <w:t>Current employer</w:t>
            </w:r>
          </w:p>
        </w:tc>
        <w:tc>
          <w:tcPr>
            <w:tcW w:type="dxa" w:w="71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9"/>
              </w:rPr>
              <w:t>Cedars Integrated Consulting project team - Resident Engineer (fictional)</w:t>
            </w:r>
          </w:p>
        </w:tc>
      </w:tr>
      <w:tr>
        <w:trPr>
          <w:cantSplit/>
        </w:trPr>
        <w:tc>
          <w:tcPr>
            <w:tcW w:type="dxa" w:w="2200"/>
            <w:tcMar>
              <w:top w:w="80" w:type="dxa"/>
              <w:start w:w="120" w:type="dxa"/>
              <w:bottom w:w="80" w:type="dxa"/>
              <w:end w:w="120" w:type="dxa"/>
            </w:tcMar>
            <w:vAlign w:val="center"/>
          </w:tcPr>
          <w:p>
            <w:pPr>
              <w:spacing w:after="0" w:line="252" w:lineRule="auto"/>
            </w:pPr>
            <w:r>
              <w:rPr>
                <w:rFonts w:ascii="Calibri" w:hAnsi="Calibri"/>
                <w:b w:val="0"/>
                <w:i w:val="0"/>
                <w:color w:val="111111"/>
                <w:sz w:val="19"/>
              </w:rPr>
              <w:t>Years of experience</w:t>
            </w:r>
          </w:p>
        </w:tc>
        <w:tc>
          <w:tcPr>
            <w:tcW w:type="dxa" w:w="7160"/>
            <w:tcMar>
              <w:top w:w="80" w:type="dxa"/>
              <w:start w:w="120" w:type="dxa"/>
              <w:bottom w:w="80" w:type="dxa"/>
              <w:end w:w="120" w:type="dxa"/>
            </w:tcMar>
            <w:vAlign w:val="center"/>
          </w:tcPr>
          <w:p>
            <w:pPr>
              <w:spacing w:after="0" w:line="252" w:lineRule="auto"/>
            </w:pPr>
            <w:r>
              <w:rPr>
                <w:rFonts w:ascii="Calibri" w:hAnsi="Calibri"/>
                <w:b w:val="0"/>
                <w:i w:val="0"/>
                <w:color w:val="111111"/>
                <w:sz w:val="19"/>
              </w:rPr>
              <w:t>15 years (2011-2026)</w:t>
            </w:r>
          </w:p>
        </w:tc>
      </w:tr>
      <w:tr>
        <w:trPr>
          <w:cantSplit/>
        </w:trPr>
        <w:tc>
          <w:tcPr>
            <w:tcW w:type="dxa" w:w="22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9"/>
              </w:rPr>
              <w:t>Availability / deployment</w:t>
            </w:r>
          </w:p>
        </w:tc>
        <w:tc>
          <w:tcPr>
            <w:tcW w:type="dxa" w:w="71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9"/>
              </w:rPr>
              <w:t>Full-time resident in Monrovia from contractor mobilization through substantial completion; scheduled DLP inspections</w:t>
            </w:r>
          </w:p>
        </w:tc>
      </w:tr>
      <w:tr>
        <w:trPr>
          <w:cantSplit/>
        </w:trPr>
        <w:tc>
          <w:tcPr>
            <w:tcW w:type="dxa" w:w="2200"/>
            <w:tcMar>
              <w:top w:w="80" w:type="dxa"/>
              <w:start w:w="120" w:type="dxa"/>
              <w:bottom w:w="80" w:type="dxa"/>
              <w:end w:w="120" w:type="dxa"/>
            </w:tcMar>
            <w:vAlign w:val="center"/>
          </w:tcPr>
          <w:p>
            <w:pPr>
              <w:spacing w:after="0" w:line="252" w:lineRule="auto"/>
            </w:pPr>
            <w:r>
              <w:rPr>
                <w:rFonts w:ascii="Calibri" w:hAnsi="Calibri"/>
                <w:b w:val="0"/>
                <w:i w:val="0"/>
                <w:color w:val="111111"/>
                <w:sz w:val="19"/>
              </w:rPr>
              <w:t>Languages</w:t>
            </w:r>
          </w:p>
        </w:tc>
        <w:tc>
          <w:tcPr>
            <w:tcW w:type="dxa" w:w="7160"/>
            <w:tcMar>
              <w:top w:w="80" w:type="dxa"/>
              <w:start w:w="120" w:type="dxa"/>
              <w:bottom w:w="80" w:type="dxa"/>
              <w:end w:w="120" w:type="dxa"/>
            </w:tcMar>
            <w:vAlign w:val="center"/>
          </w:tcPr>
          <w:p>
            <w:pPr>
              <w:spacing w:after="0" w:line="252" w:lineRule="auto"/>
            </w:pPr>
            <w:r>
              <w:rPr>
                <w:rFonts w:ascii="Calibri" w:hAnsi="Calibri"/>
                <w:b w:val="0"/>
                <w:i w:val="0"/>
                <w:color w:val="111111"/>
                <w:sz w:val="19"/>
              </w:rPr>
              <w:t>English (native), Bassa (fluent)</w:t>
            </w:r>
          </w:p>
        </w:tc>
      </w:tr>
    </w:tbl>
    <w:p>
      <w:pPr>
        <w:spacing w:before="0" w:after="40" w:line="300" w:lineRule="auto"/>
      </w:pPr>
    </w:p>
    <w:p>
      <w:pPr>
        <w:pStyle w:val="Heading2"/>
        <w:keepNext/>
      </w:pPr>
      <w:r>
        <w:t>Professional profile</w:t>
      </w:r>
    </w:p>
    <w:p>
      <w:pPr>
        <w:spacing w:before="0" w:after="120" w:line="300" w:lineRule="auto"/>
      </w:pPr>
      <w:r>
        <w:rPr>
          <w:rFonts w:ascii="Calibri" w:hAnsi="Calibri"/>
          <w:b w:val="0"/>
          <w:i w:val="0"/>
          <w:color w:val="111111"/>
          <w:sz w:val="22"/>
        </w:rPr>
        <w:t>Liberian civil engineer and resident supervision specialist with assumed experience administering institutional construction contracts, coordinating inspections, certifying measurements, controlling programmes and variations, and managing contractor performance in West African operating conditions.</w:t>
      </w:r>
    </w:p>
    <w:p>
      <w:pPr>
        <w:pStyle w:val="Heading2"/>
        <w:keepNext/>
      </w:pPr>
      <w:r>
        <w:t>Education and credentials</w:t>
      </w:r>
    </w:p>
    <w:p>
      <w:pPr>
        <w:spacing w:before="0" w:after="100" w:line="300" w:lineRule="auto"/>
        <w:numPr>
          <w:ilvl w:val="0"/>
          <w:numId w:val="10"/>
        </w:numPr>
      </w:pPr>
      <w:r>
        <w:rPr>
          <w:rFonts w:ascii="Calibri" w:hAnsi="Calibri"/>
          <w:b w:val="0"/>
          <w:i w:val="0"/>
          <w:color w:val="111111"/>
          <w:sz w:val="22"/>
        </w:rPr>
        <w:t>BSc, Civil Engineering, fictional Liberian university, 2011</w:t>
      </w:r>
    </w:p>
    <w:p>
      <w:pPr>
        <w:spacing w:before="0" w:after="100" w:line="300" w:lineRule="auto"/>
        <w:numPr>
          <w:ilvl w:val="0"/>
          <w:numId w:val="10"/>
        </w:numPr>
      </w:pPr>
      <w:r>
        <w:rPr>
          <w:rFonts w:ascii="Calibri" w:hAnsi="Calibri"/>
          <w:b w:val="0"/>
          <w:i w:val="0"/>
          <w:color w:val="111111"/>
          <w:sz w:val="22"/>
        </w:rPr>
        <w:t>Professional engineering registration in Liberia (illustrative)</w:t>
      </w:r>
    </w:p>
    <w:p>
      <w:pPr>
        <w:spacing w:before="0" w:after="100" w:line="300" w:lineRule="auto"/>
        <w:numPr>
          <w:ilvl w:val="0"/>
          <w:numId w:val="10"/>
        </w:numPr>
      </w:pPr>
      <w:r>
        <w:rPr>
          <w:rFonts w:ascii="Calibri" w:hAnsi="Calibri"/>
          <w:b w:val="0"/>
          <w:i w:val="0"/>
          <w:color w:val="111111"/>
          <w:sz w:val="22"/>
        </w:rPr>
        <w:t>FIDIC Contracts and Contract Administration certificate, 2019</w:t>
      </w:r>
    </w:p>
    <w:p>
      <w:pPr>
        <w:spacing w:before="0" w:after="100" w:line="300" w:lineRule="auto"/>
        <w:numPr>
          <w:ilvl w:val="0"/>
          <w:numId w:val="10"/>
        </w:numPr>
      </w:pPr>
      <w:r>
        <w:rPr>
          <w:rFonts w:ascii="Calibri" w:hAnsi="Calibri"/>
          <w:b w:val="0"/>
          <w:i w:val="0"/>
          <w:color w:val="111111"/>
          <w:sz w:val="22"/>
        </w:rPr>
        <w:t>Training in Primavera P6, measurement, claims avoidance and site safety leadership</w:t>
      </w:r>
    </w:p>
    <w:p>
      <w:pPr>
        <w:pStyle w:val="Heading2"/>
        <w:keepNext/>
      </w:pPr>
      <w:r>
        <w:t>TOR responsibilities</w:t>
      </w:r>
    </w:p>
    <w:p>
      <w:pPr>
        <w:spacing w:before="0" w:after="100" w:line="300" w:lineRule="auto"/>
        <w:numPr>
          <w:ilvl w:val="0"/>
          <w:numId w:val="10"/>
        </w:numPr>
      </w:pPr>
      <w:r>
        <w:rPr>
          <w:rFonts w:ascii="Calibri" w:hAnsi="Calibri"/>
          <w:b w:val="0"/>
          <w:i w:val="0"/>
          <w:color w:val="111111"/>
          <w:sz w:val="22"/>
        </w:rPr>
        <w:t>Lead day-to-day site supervision and coordinate discipline inspectors</w:t>
      </w:r>
    </w:p>
    <w:p>
      <w:pPr>
        <w:spacing w:before="0" w:after="100" w:line="300" w:lineRule="auto"/>
        <w:numPr>
          <w:ilvl w:val="0"/>
          <w:numId w:val="10"/>
        </w:numPr>
      </w:pPr>
      <w:r>
        <w:rPr>
          <w:rFonts w:ascii="Calibri" w:hAnsi="Calibri"/>
          <w:b w:val="0"/>
          <w:i w:val="0"/>
          <w:color w:val="111111"/>
          <w:sz w:val="22"/>
        </w:rPr>
        <w:t>Enforce approved drawings, specifications, programme, method statements and permits</w:t>
      </w:r>
    </w:p>
    <w:p>
      <w:pPr>
        <w:spacing w:before="0" w:after="100" w:line="300" w:lineRule="auto"/>
        <w:numPr>
          <w:ilvl w:val="0"/>
          <w:numId w:val="10"/>
        </w:numPr>
      </w:pPr>
      <w:r>
        <w:rPr>
          <w:rFonts w:ascii="Calibri" w:hAnsi="Calibri"/>
          <w:b w:val="0"/>
          <w:i w:val="0"/>
          <w:color w:val="111111"/>
          <w:sz w:val="22"/>
        </w:rPr>
        <w:t>Manage RFIs, site instructions, records, progress measurement, IPC recommendations and variation inputs</w:t>
      </w:r>
    </w:p>
    <w:p>
      <w:pPr>
        <w:spacing w:before="0" w:after="100" w:line="300" w:lineRule="auto"/>
        <w:numPr>
          <w:ilvl w:val="0"/>
          <w:numId w:val="10"/>
        </w:numPr>
      </w:pPr>
      <w:r>
        <w:rPr>
          <w:rFonts w:ascii="Calibri" w:hAnsi="Calibri"/>
          <w:b w:val="0"/>
          <w:i w:val="0"/>
          <w:color w:val="111111"/>
          <w:sz w:val="22"/>
        </w:rPr>
        <w:t>Coordinate EHS enforcement and contractor corrective actions</w:t>
      </w:r>
    </w:p>
    <w:p>
      <w:pPr>
        <w:spacing w:before="0" w:after="100" w:line="300" w:lineRule="auto"/>
        <w:numPr>
          <w:ilvl w:val="0"/>
          <w:numId w:val="10"/>
        </w:numPr>
      </w:pPr>
      <w:r>
        <w:rPr>
          <w:rFonts w:ascii="Calibri" w:hAnsi="Calibri"/>
          <w:b w:val="0"/>
          <w:i w:val="0"/>
          <w:color w:val="111111"/>
          <w:sz w:val="22"/>
        </w:rPr>
        <w:t>Lead snagging, handover, as-built/O&amp;M review and DLP defect tracking</w:t>
      </w:r>
    </w:p>
    <w:p>
      <w:pPr>
        <w:pStyle w:val="Heading2"/>
        <w:keepNext/>
      </w:pPr>
      <w:r>
        <w:t>Employment record</w:t>
      </w:r>
    </w:p>
    <w:tbl>
      <w:tblPr>
        <w:tblStyle w:val="TableGrid"/>
        <w:tblW w:type="dxa" w:w="9360"/>
        <w:jc w:val="left"/>
        <w:tblLayout w:type="fixed"/>
        <w:tblLook w:firstColumn="1" w:firstRow="1" w:lastColumn="0" w:lastRow="0" w:noHBand="0" w:noVBand="1" w:val="04A0"/>
        <w:tblInd w:w="120" w:type="dxa"/>
      </w:tblPr>
      <w:tblGrid>
        <w:gridCol w:w="1500"/>
        <w:gridCol w:w="3200"/>
        <w:gridCol w:w="4660"/>
      </w:tblGrid>
      <w:tr>
        <w:trPr>
          <w:tblHeader w:val="true"/>
          <w:cantSplit/>
        </w:trPr>
        <w:tc>
          <w:tcPr>
            <w:tcW w:type="dxa" w:w="1500"/>
            <w:shd w:fill="18324A"/>
            <w:tcMar>
              <w:top w:w="80" w:type="dxa"/>
              <w:start w:w="120" w:type="dxa"/>
              <w:bottom w:w="80" w:type="dxa"/>
              <w:end w:w="120" w:type="dxa"/>
            </w:tcMar>
            <w:vAlign w:val="center"/>
          </w:tcPr>
          <w:p>
            <w:pPr>
              <w:spacing w:after="0"/>
              <w:jc w:val="center"/>
            </w:pPr>
            <w:r>
              <w:rPr>
                <w:rFonts w:ascii="Calibri" w:hAnsi="Calibri"/>
                <w:b/>
                <w:i w:val="0"/>
                <w:color w:val="FFFFFF"/>
                <w:sz w:val="17"/>
              </w:rPr>
              <w:t>Period</w:t>
            </w:r>
          </w:p>
        </w:tc>
        <w:tc>
          <w:tcPr>
            <w:tcW w:type="dxa" w:w="3200"/>
            <w:shd w:fill="18324A"/>
            <w:tcMar>
              <w:top w:w="80" w:type="dxa"/>
              <w:start w:w="120" w:type="dxa"/>
              <w:bottom w:w="80" w:type="dxa"/>
              <w:end w:w="120" w:type="dxa"/>
            </w:tcMar>
            <w:vAlign w:val="center"/>
          </w:tcPr>
          <w:p>
            <w:pPr>
              <w:spacing w:after="0"/>
              <w:jc w:val="center"/>
            </w:pPr>
            <w:r>
              <w:rPr>
                <w:rFonts w:ascii="Calibri" w:hAnsi="Calibri"/>
                <w:b/>
                <w:i w:val="0"/>
                <w:color w:val="FFFFFF"/>
                <w:sz w:val="17"/>
              </w:rPr>
              <w:t>Organization / position</w:t>
            </w:r>
          </w:p>
        </w:tc>
        <w:tc>
          <w:tcPr>
            <w:tcW w:type="dxa" w:w="4660"/>
            <w:shd w:fill="18324A"/>
            <w:tcMar>
              <w:top w:w="80" w:type="dxa"/>
              <w:start w:w="120" w:type="dxa"/>
              <w:bottom w:w="80" w:type="dxa"/>
              <w:end w:w="120" w:type="dxa"/>
            </w:tcMar>
            <w:vAlign w:val="center"/>
          </w:tcPr>
          <w:p>
            <w:pPr>
              <w:spacing w:after="0"/>
              <w:jc w:val="center"/>
            </w:pPr>
            <w:r>
              <w:rPr>
                <w:rFonts w:ascii="Calibri" w:hAnsi="Calibri"/>
                <w:b/>
                <w:i w:val="0"/>
                <w:color w:val="FFFFFF"/>
                <w:sz w:val="17"/>
              </w:rPr>
              <w:t>Selected responsibility</w:t>
            </w:r>
          </w:p>
        </w:tc>
      </w:tr>
      <w:tr>
        <w:trPr>
          <w:cantSplit/>
        </w:trPr>
        <w:tc>
          <w:tcPr>
            <w:tcW w:type="dxa" w:w="1500"/>
            <w:tcMar>
              <w:top w:w="80" w:type="dxa"/>
              <w:start w:w="120" w:type="dxa"/>
              <w:bottom w:w="80" w:type="dxa"/>
              <w:end w:w="120" w:type="dxa"/>
            </w:tcMar>
            <w:vAlign w:val="center"/>
          </w:tcPr>
          <w:p>
            <w:pPr>
              <w:spacing w:after="0" w:line="252" w:lineRule="auto"/>
            </w:pPr>
            <w:r>
              <w:rPr>
                <w:rFonts w:ascii="Calibri" w:hAnsi="Calibri"/>
                <w:b w:val="0"/>
                <w:i w:val="0"/>
                <w:color w:val="111111"/>
                <w:sz w:val="17"/>
              </w:rPr>
              <w:t>2019-present</w:t>
            </w:r>
          </w:p>
        </w:tc>
        <w:tc>
          <w:tcPr>
            <w:tcW w:type="dxa" w:w="3200"/>
            <w:tcMar>
              <w:top w:w="80" w:type="dxa"/>
              <w:start w:w="120" w:type="dxa"/>
              <w:bottom w:w="80" w:type="dxa"/>
              <w:end w:w="120" w:type="dxa"/>
            </w:tcMar>
            <w:vAlign w:val="center"/>
          </w:tcPr>
          <w:p>
            <w:pPr>
              <w:spacing w:after="0" w:line="252" w:lineRule="auto"/>
            </w:pPr>
            <w:r>
              <w:rPr>
                <w:rFonts w:ascii="Calibri" w:hAnsi="Calibri"/>
                <w:b w:val="0"/>
                <w:i w:val="0"/>
                <w:color w:val="111111"/>
                <w:sz w:val="17"/>
              </w:rPr>
              <w:t>Fictional Liberia Project Supervision Associates - Resident Engineer</w:t>
            </w:r>
          </w:p>
        </w:tc>
        <w:tc>
          <w:tcPr>
            <w:tcW w:type="dxa" w:w="4660"/>
            <w:tcMar>
              <w:top w:w="80" w:type="dxa"/>
              <w:start w:w="120" w:type="dxa"/>
              <w:bottom w:w="80" w:type="dxa"/>
              <w:end w:w="120" w:type="dxa"/>
            </w:tcMar>
            <w:vAlign w:val="center"/>
          </w:tcPr>
          <w:p>
            <w:pPr>
              <w:spacing w:after="0" w:line="252" w:lineRule="auto"/>
            </w:pPr>
            <w:r>
              <w:rPr>
                <w:rFonts w:ascii="Calibri" w:hAnsi="Calibri"/>
                <w:b w:val="0"/>
                <w:i w:val="0"/>
                <w:color w:val="111111"/>
                <w:sz w:val="17"/>
              </w:rPr>
              <w:t>Institutional and infrastructure supervision</w:t>
            </w:r>
          </w:p>
        </w:tc>
      </w:tr>
      <w:tr>
        <w:trPr>
          <w:cantSplit/>
        </w:trPr>
        <w:tc>
          <w:tcPr>
            <w:tcW w:type="dxa" w:w="15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7"/>
              </w:rPr>
              <w:t>2014-2019</w:t>
            </w:r>
          </w:p>
        </w:tc>
        <w:tc>
          <w:tcPr>
            <w:tcW w:type="dxa" w:w="32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7"/>
              </w:rPr>
              <w:t>Fictional Atlantic Engineering Liberia - Site Engineer</w:t>
            </w:r>
          </w:p>
        </w:tc>
        <w:tc>
          <w:tcPr>
            <w:tcW w:type="dxa" w:w="46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7"/>
              </w:rPr>
              <w:t>Quality, measurement and contractor coordination</w:t>
            </w:r>
          </w:p>
        </w:tc>
      </w:tr>
      <w:tr>
        <w:trPr>
          <w:cantSplit/>
        </w:trPr>
        <w:tc>
          <w:tcPr>
            <w:tcW w:type="dxa" w:w="1500"/>
            <w:tcMar>
              <w:top w:w="80" w:type="dxa"/>
              <w:start w:w="120" w:type="dxa"/>
              <w:bottom w:w="80" w:type="dxa"/>
              <w:end w:w="120" w:type="dxa"/>
            </w:tcMar>
            <w:vAlign w:val="center"/>
          </w:tcPr>
          <w:p>
            <w:pPr>
              <w:spacing w:after="0" w:line="252" w:lineRule="auto"/>
            </w:pPr>
            <w:r>
              <w:rPr>
                <w:rFonts w:ascii="Calibri" w:hAnsi="Calibri"/>
                <w:b w:val="0"/>
                <w:i w:val="0"/>
                <w:color w:val="111111"/>
                <w:sz w:val="17"/>
              </w:rPr>
              <w:t>2011-2014</w:t>
            </w:r>
          </w:p>
        </w:tc>
        <w:tc>
          <w:tcPr>
            <w:tcW w:type="dxa" w:w="3200"/>
            <w:tcMar>
              <w:top w:w="80" w:type="dxa"/>
              <w:start w:w="120" w:type="dxa"/>
              <w:bottom w:w="80" w:type="dxa"/>
              <w:end w:w="120" w:type="dxa"/>
            </w:tcMar>
            <w:vAlign w:val="center"/>
          </w:tcPr>
          <w:p>
            <w:pPr>
              <w:spacing w:after="0" w:line="252" w:lineRule="auto"/>
            </w:pPr>
            <w:r>
              <w:rPr>
                <w:rFonts w:ascii="Calibri" w:hAnsi="Calibri"/>
                <w:b w:val="0"/>
                <w:i w:val="0"/>
                <w:color w:val="111111"/>
                <w:sz w:val="17"/>
              </w:rPr>
              <w:t>Fictional Monrovia Civil Works - Assistant Engineer</w:t>
            </w:r>
          </w:p>
        </w:tc>
        <w:tc>
          <w:tcPr>
            <w:tcW w:type="dxa" w:w="4660"/>
            <w:tcMar>
              <w:top w:w="80" w:type="dxa"/>
              <w:start w:w="120" w:type="dxa"/>
              <w:bottom w:w="80" w:type="dxa"/>
              <w:end w:w="120" w:type="dxa"/>
            </w:tcMar>
            <w:vAlign w:val="center"/>
          </w:tcPr>
          <w:p>
            <w:pPr>
              <w:spacing w:after="0" w:line="252" w:lineRule="auto"/>
            </w:pPr>
            <w:r>
              <w:rPr>
                <w:rFonts w:ascii="Calibri" w:hAnsi="Calibri"/>
                <w:b w:val="0"/>
                <w:i w:val="0"/>
                <w:color w:val="111111"/>
                <w:sz w:val="17"/>
              </w:rPr>
              <w:t>Site records, inspections and quantities</w:t>
            </w:r>
          </w:p>
        </w:tc>
      </w:tr>
    </w:tbl>
    <w:p>
      <w:pPr>
        <w:spacing w:before="0" w:after="40" w:line="300" w:lineRule="auto"/>
      </w:pPr>
    </w:p>
    <w:p>
      <w:pPr>
        <w:pStyle w:val="Heading2"/>
        <w:keepNext/>
      </w:pPr>
      <w:r>
        <w:t>Most relevant assignments</w:t>
      </w:r>
    </w:p>
    <w:tbl>
      <w:tblPr>
        <w:tblStyle w:val="TableGrid"/>
        <w:tblW w:type="dxa" w:w="9360"/>
        <w:jc w:val="left"/>
        <w:tblLayout w:type="fixed"/>
        <w:tblLook w:firstColumn="1" w:firstRow="1" w:lastColumn="0" w:lastRow="0" w:noHBand="0" w:noVBand="1" w:val="04A0"/>
        <w:tblInd w:w="120" w:type="dxa"/>
      </w:tblPr>
      <w:tblGrid>
        <w:gridCol w:w="1500"/>
        <w:gridCol w:w="3300"/>
        <w:gridCol w:w="4560"/>
      </w:tblGrid>
      <w:tr>
        <w:trPr>
          <w:tblHeader w:val="true"/>
          <w:cantSplit/>
        </w:trPr>
        <w:tc>
          <w:tcPr>
            <w:tcW w:type="dxa" w:w="1500"/>
            <w:shd w:fill="18324A"/>
            <w:tcMar>
              <w:top w:w="80" w:type="dxa"/>
              <w:start w:w="120" w:type="dxa"/>
              <w:bottom w:w="80" w:type="dxa"/>
              <w:end w:w="120" w:type="dxa"/>
            </w:tcMar>
            <w:vAlign w:val="center"/>
          </w:tcPr>
          <w:p>
            <w:pPr>
              <w:spacing w:after="0"/>
              <w:jc w:val="center"/>
            </w:pPr>
            <w:r>
              <w:rPr>
                <w:rFonts w:ascii="Calibri" w:hAnsi="Calibri"/>
                <w:b/>
                <w:i w:val="0"/>
                <w:color w:val="FFFFFF"/>
                <w:sz w:val="16"/>
              </w:rPr>
              <w:t>Year / location</w:t>
            </w:r>
          </w:p>
        </w:tc>
        <w:tc>
          <w:tcPr>
            <w:tcW w:type="dxa" w:w="3300"/>
            <w:shd w:fill="18324A"/>
            <w:tcMar>
              <w:top w:w="80" w:type="dxa"/>
              <w:start w:w="120" w:type="dxa"/>
              <w:bottom w:w="80" w:type="dxa"/>
              <w:end w:w="120" w:type="dxa"/>
            </w:tcMar>
            <w:vAlign w:val="center"/>
          </w:tcPr>
          <w:p>
            <w:pPr>
              <w:spacing w:after="0"/>
              <w:jc w:val="center"/>
            </w:pPr>
            <w:r>
              <w:rPr>
                <w:rFonts w:ascii="Calibri" w:hAnsi="Calibri"/>
                <w:b/>
                <w:i w:val="0"/>
                <w:color w:val="FFFFFF"/>
                <w:sz w:val="16"/>
              </w:rPr>
              <w:t>Fictional assignment and client</w:t>
            </w:r>
          </w:p>
        </w:tc>
        <w:tc>
          <w:tcPr>
            <w:tcW w:type="dxa" w:w="4560"/>
            <w:shd w:fill="18324A"/>
            <w:tcMar>
              <w:top w:w="80" w:type="dxa"/>
              <w:start w:w="120" w:type="dxa"/>
              <w:bottom w:w="80" w:type="dxa"/>
              <w:end w:w="120" w:type="dxa"/>
            </w:tcMar>
            <w:vAlign w:val="center"/>
          </w:tcPr>
          <w:p>
            <w:pPr>
              <w:spacing w:after="0"/>
              <w:jc w:val="center"/>
            </w:pPr>
            <w:r>
              <w:rPr>
                <w:rFonts w:ascii="Calibri" w:hAnsi="Calibri"/>
                <w:b/>
                <w:i w:val="0"/>
                <w:color w:val="FFFFFF"/>
                <w:sz w:val="16"/>
              </w:rPr>
              <w:t>Role and relevance</w:t>
            </w:r>
          </w:p>
        </w:tc>
      </w:tr>
      <w:tr>
        <w:trPr>
          <w:cantSplit/>
        </w:trPr>
        <w:tc>
          <w:tcPr>
            <w:tcW w:type="dxa" w:w="1500"/>
            <w:tcMar>
              <w:top w:w="80" w:type="dxa"/>
              <w:start w:w="120" w:type="dxa"/>
              <w:bottom w:w="80" w:type="dxa"/>
              <w:end w:w="120" w:type="dxa"/>
            </w:tcMar>
            <w:vAlign w:val="center"/>
          </w:tcPr>
          <w:p>
            <w:pPr>
              <w:spacing w:after="0" w:line="252" w:lineRule="auto"/>
            </w:pPr>
            <w:r>
              <w:rPr>
                <w:rFonts w:ascii="Calibri" w:hAnsi="Calibri"/>
                <w:b w:val="0"/>
                <w:i w:val="0"/>
                <w:color w:val="111111"/>
                <w:sz w:val="16"/>
              </w:rPr>
              <w:t>2023-2025 / Liberia</w:t>
            </w:r>
          </w:p>
        </w:tc>
        <w:tc>
          <w:tcPr>
            <w:tcW w:type="dxa" w:w="3300"/>
            <w:tcMar>
              <w:top w:w="80" w:type="dxa"/>
              <w:start w:w="120" w:type="dxa"/>
              <w:bottom w:w="80" w:type="dxa"/>
              <w:end w:w="120" w:type="dxa"/>
            </w:tcMar>
            <w:vAlign w:val="center"/>
          </w:tcPr>
          <w:p>
            <w:pPr>
              <w:spacing w:after="0" w:line="252" w:lineRule="auto"/>
            </w:pPr>
            <w:r>
              <w:rPr>
                <w:rFonts w:ascii="Calibri" w:hAnsi="Calibri"/>
                <w:b w:val="0"/>
                <w:i w:val="0"/>
                <w:color w:val="111111"/>
                <w:sz w:val="16"/>
              </w:rPr>
              <w:t>Monrovia Digital Administration Centre</w:t>
            </w:r>
          </w:p>
        </w:tc>
        <w:tc>
          <w:tcPr>
            <w:tcW w:type="dxa" w:w="4560"/>
            <w:tcMar>
              <w:top w:w="80" w:type="dxa"/>
              <w:start w:w="120" w:type="dxa"/>
              <w:bottom w:w="80" w:type="dxa"/>
              <w:end w:w="120" w:type="dxa"/>
            </w:tcMar>
            <w:vAlign w:val="center"/>
          </w:tcPr>
          <w:p>
            <w:pPr>
              <w:spacing w:after="0" w:line="252" w:lineRule="auto"/>
            </w:pPr>
            <w:r>
              <w:rPr>
                <w:rFonts w:ascii="Calibri" w:hAnsi="Calibri"/>
                <w:b w:val="0"/>
                <w:i w:val="0"/>
                <w:color w:val="111111"/>
                <w:sz w:val="16"/>
              </w:rPr>
              <w:t>Resident engineer; programme, IPCs, quality and handover</w:t>
            </w:r>
          </w:p>
        </w:tc>
      </w:tr>
      <w:tr>
        <w:trPr>
          <w:cantSplit/>
        </w:trPr>
        <w:tc>
          <w:tcPr>
            <w:tcW w:type="dxa" w:w="15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2020-2023 / Liberia</w:t>
            </w:r>
          </w:p>
        </w:tc>
        <w:tc>
          <w:tcPr>
            <w:tcW w:type="dxa" w:w="33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National Records and Archive Facility</w:t>
            </w:r>
          </w:p>
        </w:tc>
        <w:tc>
          <w:tcPr>
            <w:tcW w:type="dxa" w:w="45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Site supervision lead; controlled environment and specialist systems</w:t>
            </w:r>
          </w:p>
        </w:tc>
      </w:tr>
      <w:tr>
        <w:trPr>
          <w:cantSplit/>
        </w:trPr>
        <w:tc>
          <w:tcPr>
            <w:tcW w:type="dxa" w:w="1500"/>
            <w:tcMar>
              <w:top w:w="80" w:type="dxa"/>
              <w:start w:w="120" w:type="dxa"/>
              <w:bottom w:w="80" w:type="dxa"/>
              <w:end w:w="120" w:type="dxa"/>
            </w:tcMar>
            <w:vAlign w:val="center"/>
          </w:tcPr>
          <w:p>
            <w:pPr>
              <w:spacing w:after="0" w:line="252" w:lineRule="auto"/>
            </w:pPr>
            <w:r>
              <w:rPr>
                <w:rFonts w:ascii="Calibri" w:hAnsi="Calibri"/>
                <w:b w:val="0"/>
                <w:i w:val="0"/>
                <w:color w:val="111111"/>
                <w:sz w:val="16"/>
              </w:rPr>
              <w:t>2018-2021 / Sierra Leone</w:t>
            </w:r>
          </w:p>
        </w:tc>
        <w:tc>
          <w:tcPr>
            <w:tcW w:type="dxa" w:w="3300"/>
            <w:tcMar>
              <w:top w:w="80" w:type="dxa"/>
              <w:start w:w="120" w:type="dxa"/>
              <w:bottom w:w="80" w:type="dxa"/>
              <w:end w:w="120" w:type="dxa"/>
            </w:tcMar>
            <w:vAlign w:val="center"/>
          </w:tcPr>
          <w:p>
            <w:pPr>
              <w:spacing w:after="0" w:line="252" w:lineRule="auto"/>
            </w:pPr>
            <w:r>
              <w:rPr>
                <w:rFonts w:ascii="Calibri" w:hAnsi="Calibri"/>
                <w:b w:val="0"/>
                <w:i w:val="0"/>
                <w:color w:val="111111"/>
                <w:sz w:val="16"/>
              </w:rPr>
              <w:t>Regional Revenue Headquarters</w:t>
            </w:r>
          </w:p>
        </w:tc>
        <w:tc>
          <w:tcPr>
            <w:tcW w:type="dxa" w:w="4560"/>
            <w:tcMar>
              <w:top w:w="80" w:type="dxa"/>
              <w:start w:w="120" w:type="dxa"/>
              <w:bottom w:w="80" w:type="dxa"/>
              <w:end w:w="120" w:type="dxa"/>
            </w:tcMar>
            <w:vAlign w:val="center"/>
          </w:tcPr>
          <w:p>
            <w:pPr>
              <w:spacing w:after="0" w:line="252" w:lineRule="auto"/>
            </w:pPr>
            <w:r>
              <w:rPr>
                <w:rFonts w:ascii="Calibri" w:hAnsi="Calibri"/>
                <w:b w:val="0"/>
                <w:i w:val="0"/>
                <w:color w:val="111111"/>
                <w:sz w:val="16"/>
              </w:rPr>
              <w:t>Deputy resident engineer; international design interfaces</w:t>
            </w:r>
          </w:p>
        </w:tc>
      </w:tr>
      <w:tr>
        <w:trPr>
          <w:cantSplit/>
        </w:trPr>
        <w:tc>
          <w:tcPr>
            <w:tcW w:type="dxa" w:w="15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2015-2018 / Liberia</w:t>
            </w:r>
          </w:p>
        </w:tc>
        <w:tc>
          <w:tcPr>
            <w:tcW w:type="dxa" w:w="33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National Emergency Coordination Building</w:t>
            </w:r>
          </w:p>
        </w:tc>
        <w:tc>
          <w:tcPr>
            <w:tcW w:type="dxa" w:w="45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Site engineer; resilient facility and standby systems</w:t>
            </w:r>
          </w:p>
        </w:tc>
      </w:tr>
    </w:tbl>
    <w:p>
      <w:pPr>
        <w:spacing w:before="0" w:after="40" w:line="300" w:lineRule="auto"/>
      </w:pPr>
    </w:p>
    <w:p>
      <w:pPr>
        <w:pStyle w:val="Heading2"/>
        <w:keepNext/>
      </w:pPr>
      <w:r>
        <w:t>Evidence to attach before a real submission</w:t>
      </w:r>
    </w:p>
    <w:p>
      <w:pPr>
        <w:spacing w:before="0" w:after="100" w:line="300" w:lineRule="auto"/>
        <w:numPr>
          <w:ilvl w:val="0"/>
          <w:numId w:val="10"/>
        </w:numPr>
      </w:pPr>
      <w:r>
        <w:rPr>
          <w:rFonts w:ascii="Calibri" w:hAnsi="Calibri"/>
          <w:b w:val="0"/>
          <w:i w:val="0"/>
          <w:color w:val="111111"/>
          <w:sz w:val="22"/>
        </w:rPr>
        <w:t>Liberian nationality and engineering registration</w:t>
      </w:r>
    </w:p>
    <w:p>
      <w:pPr>
        <w:spacing w:before="0" w:after="100" w:line="300" w:lineRule="auto"/>
        <w:numPr>
          <w:ilvl w:val="0"/>
          <w:numId w:val="10"/>
        </w:numPr>
      </w:pPr>
      <w:r>
        <w:rPr>
          <w:rFonts w:ascii="Calibri" w:hAnsi="Calibri"/>
          <w:b w:val="0"/>
          <w:i w:val="0"/>
          <w:color w:val="111111"/>
          <w:sz w:val="22"/>
        </w:rPr>
        <w:t>Degree and FIDIC training evidence</w:t>
      </w:r>
    </w:p>
    <w:p>
      <w:pPr>
        <w:spacing w:before="0" w:after="100" w:line="300" w:lineRule="auto"/>
        <w:numPr>
          <w:ilvl w:val="0"/>
          <w:numId w:val="10"/>
        </w:numPr>
      </w:pPr>
      <w:r>
        <w:rPr>
          <w:rFonts w:ascii="Calibri" w:hAnsi="Calibri"/>
          <w:b w:val="0"/>
          <w:i w:val="0"/>
          <w:color w:val="111111"/>
          <w:sz w:val="22"/>
        </w:rPr>
        <w:t>Employer/client certificates confirming resident role and project scale</w:t>
      </w:r>
    </w:p>
    <w:p>
      <w:pPr>
        <w:spacing w:before="0" w:after="100" w:line="300" w:lineRule="auto"/>
        <w:numPr>
          <w:ilvl w:val="0"/>
          <w:numId w:val="10"/>
        </w:numPr>
      </w:pPr>
      <w:r>
        <w:rPr>
          <w:rFonts w:ascii="Calibri" w:hAnsi="Calibri"/>
          <w:b w:val="0"/>
          <w:i w:val="0"/>
          <w:color w:val="111111"/>
          <w:sz w:val="22"/>
        </w:rPr>
        <w:t>Signed full-time availability and exclusivity statement</w:t>
      </w:r>
    </w:p>
    <w:p>
      <w:pPr>
        <w:spacing w:before="0" w:after="100" w:line="300" w:lineRule="auto"/>
        <w:numPr>
          <w:ilvl w:val="0"/>
          <w:numId w:val="10"/>
        </w:numPr>
      </w:pPr>
      <w:r>
        <w:rPr>
          <w:rFonts w:ascii="Calibri" w:hAnsi="Calibri"/>
          <w:b w:val="0"/>
          <w:i w:val="0"/>
          <w:color w:val="111111"/>
          <w:sz w:val="22"/>
        </w:rPr>
        <w:t>References plus sample redacted supervision records</w:t>
      </w:r>
    </w:p>
    <w:tbl>
      <w:tblPr>
        <w:tblW w:type="dxa" w:w="9360"/>
        <w:jc w:val="left"/>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vAlign w:val="center"/>
            <w:shd w:fill="FFF7E6"/>
          </w:tcPr>
          <w:p>
            <w:pPr>
              <w:spacing w:after="40"/>
            </w:pPr>
            <w:r>
              <w:rPr>
                <w:rFonts w:ascii="Calibri" w:hAnsi="Calibri"/>
                <w:b/>
                <w:i w:val="0"/>
                <w:color w:val="B58220"/>
                <w:sz w:val="22"/>
              </w:rPr>
              <w:t xml:space="preserve">CV declaration: </w:t>
            </w:r>
            <w:r>
              <w:rPr>
                <w:rFonts w:ascii="Calibri" w:hAnsi="Calibri"/>
                <w:b w:val="0"/>
                <w:i w:val="0"/>
                <w:color w:val="111111"/>
                <w:sz w:val="22"/>
              </w:rPr>
              <w:t>This teaching CV is fictional. In a real bid, the expert must review and sign a truthful CV; the bidder must verify degrees, registrations, certifications, employment, availability, and project references.</w:t>
            </w:r>
          </w:p>
        </w:tc>
      </w:tr>
    </w:tbl>
    <w:p>
      <w:pPr>
        <w:spacing w:before="0" w:after="40" w:line="300" w:lineRule="auto"/>
      </w:pPr>
    </w:p>
    <w:p>
      <w:r>
        <w:br w:type="page"/>
      </w:r>
    </w:p>
    <w:p>
      <w:pPr>
        <w:spacing w:before="0" w:after="40" w:line="300" w:lineRule="auto"/>
      </w:pPr>
      <w:r>
        <w:rPr>
          <w:rFonts w:ascii="Calibri" w:hAnsi="Calibri"/>
          <w:b/>
          <w:i w:val="0"/>
          <w:color w:val="167D8D"/>
          <w:sz w:val="18"/>
        </w:rPr>
        <w:t>CURRICULUM VITAE | KEY EXPERT</w:t>
      </w:r>
    </w:p>
    <w:p>
      <w:pPr>
        <w:spacing w:before="0" w:after="40" w:line="300" w:lineRule="auto"/>
      </w:pPr>
      <w:r>
        <w:rPr>
          <w:rFonts w:ascii="Calibri" w:hAnsi="Calibri"/>
          <w:b/>
          <w:i w:val="0"/>
          <w:color w:val="18324A"/>
          <w:sz w:val="44"/>
        </w:rPr>
        <w:t>Eng. Grace A. Kollie</w:t>
      </w:r>
    </w:p>
    <w:p>
      <w:pPr>
        <w:spacing w:before="0" w:after="200" w:line="300" w:lineRule="auto"/>
      </w:pPr>
      <w:r>
        <w:rPr>
          <w:rFonts w:ascii="Calibri" w:hAnsi="Calibri"/>
          <w:b/>
          <w:i w:val="0"/>
          <w:color w:val="2E74B5"/>
          <w:sz w:val="26"/>
        </w:rPr>
        <w:t>K-6 - QA/QC Specialist</w:t>
      </w:r>
    </w:p>
    <w:tbl>
      <w:tblPr>
        <w:tblStyle w:val="TableGrid"/>
        <w:tblW w:type="dxa" w:w="9360"/>
        <w:jc w:val="left"/>
        <w:tblLayout w:type="fixed"/>
        <w:tblLook w:firstColumn="1" w:firstRow="1" w:lastColumn="0" w:lastRow="0" w:noHBand="0" w:noVBand="1" w:val="04A0"/>
        <w:tblInd w:w="120" w:type="dxa"/>
      </w:tblPr>
      <w:tblGrid>
        <w:gridCol w:w="2200"/>
        <w:gridCol w:w="7160"/>
      </w:tblGrid>
      <w:tr>
        <w:trPr>
          <w:tblHeader w:val="true"/>
          <w:cantSplit/>
        </w:trPr>
        <w:tc>
          <w:tcPr>
            <w:tcW w:type="dxa" w:w="2200"/>
            <w:shd w:fill="18324A"/>
            <w:tcMar>
              <w:top w:w="80" w:type="dxa"/>
              <w:start w:w="120" w:type="dxa"/>
              <w:bottom w:w="80" w:type="dxa"/>
              <w:end w:w="120" w:type="dxa"/>
            </w:tcMar>
            <w:vAlign w:val="center"/>
          </w:tcPr>
          <w:p>
            <w:pPr>
              <w:spacing w:after="0"/>
              <w:jc w:val="center"/>
            </w:pPr>
            <w:r>
              <w:rPr>
                <w:rFonts w:ascii="Calibri" w:hAnsi="Calibri"/>
                <w:b/>
                <w:i w:val="0"/>
                <w:color w:val="FFFFFF"/>
                <w:sz w:val="19"/>
              </w:rPr>
              <w:t>Field</w:t>
            </w:r>
          </w:p>
        </w:tc>
        <w:tc>
          <w:tcPr>
            <w:tcW w:type="dxa" w:w="7160"/>
            <w:shd w:fill="18324A"/>
            <w:tcMar>
              <w:top w:w="80" w:type="dxa"/>
              <w:start w:w="120" w:type="dxa"/>
              <w:bottom w:w="80" w:type="dxa"/>
              <w:end w:w="120" w:type="dxa"/>
            </w:tcMar>
            <w:vAlign w:val="center"/>
          </w:tcPr>
          <w:p>
            <w:pPr>
              <w:spacing w:after="0"/>
              <w:jc w:val="center"/>
            </w:pPr>
            <w:r>
              <w:rPr>
                <w:rFonts w:ascii="Calibri" w:hAnsi="Calibri"/>
                <w:b/>
                <w:i w:val="0"/>
                <w:color w:val="FFFFFF"/>
                <w:sz w:val="19"/>
              </w:rPr>
              <w:t>Details</w:t>
            </w:r>
          </w:p>
        </w:tc>
      </w:tr>
      <w:tr>
        <w:trPr>
          <w:cantSplit/>
        </w:trPr>
        <w:tc>
          <w:tcPr>
            <w:tcW w:type="dxa" w:w="2200"/>
            <w:tcMar>
              <w:top w:w="80" w:type="dxa"/>
              <w:start w:w="120" w:type="dxa"/>
              <w:bottom w:w="80" w:type="dxa"/>
              <w:end w:w="120" w:type="dxa"/>
            </w:tcMar>
            <w:vAlign w:val="center"/>
          </w:tcPr>
          <w:p>
            <w:pPr>
              <w:spacing w:after="0" w:line="252" w:lineRule="auto"/>
            </w:pPr>
            <w:r>
              <w:rPr>
                <w:rFonts w:ascii="Calibri" w:hAnsi="Calibri"/>
                <w:b w:val="0"/>
                <w:i w:val="0"/>
                <w:color w:val="111111"/>
                <w:sz w:val="19"/>
              </w:rPr>
              <w:t>Nationality</w:t>
            </w:r>
          </w:p>
        </w:tc>
        <w:tc>
          <w:tcPr>
            <w:tcW w:type="dxa" w:w="7160"/>
            <w:tcMar>
              <w:top w:w="80" w:type="dxa"/>
              <w:start w:w="120" w:type="dxa"/>
              <w:bottom w:w="80" w:type="dxa"/>
              <w:end w:w="120" w:type="dxa"/>
            </w:tcMar>
            <w:vAlign w:val="center"/>
          </w:tcPr>
          <w:p>
            <w:pPr>
              <w:spacing w:after="0" w:line="252" w:lineRule="auto"/>
            </w:pPr>
            <w:r>
              <w:rPr>
                <w:rFonts w:ascii="Calibri" w:hAnsi="Calibri"/>
                <w:b w:val="0"/>
                <w:i w:val="0"/>
                <w:color w:val="111111"/>
                <w:sz w:val="19"/>
              </w:rPr>
              <w:t>Liberian</w:t>
            </w:r>
          </w:p>
        </w:tc>
      </w:tr>
      <w:tr>
        <w:trPr>
          <w:cantSplit/>
        </w:trPr>
        <w:tc>
          <w:tcPr>
            <w:tcW w:type="dxa" w:w="22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9"/>
              </w:rPr>
              <w:t>Current employer</w:t>
            </w:r>
          </w:p>
        </w:tc>
        <w:tc>
          <w:tcPr>
            <w:tcW w:type="dxa" w:w="71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9"/>
              </w:rPr>
              <w:t>Cedars Integrated Consulting project team - QA/QC Manager (fictional)</w:t>
            </w:r>
          </w:p>
        </w:tc>
      </w:tr>
      <w:tr>
        <w:trPr>
          <w:cantSplit/>
        </w:trPr>
        <w:tc>
          <w:tcPr>
            <w:tcW w:type="dxa" w:w="2200"/>
            <w:tcMar>
              <w:top w:w="80" w:type="dxa"/>
              <w:start w:w="120" w:type="dxa"/>
              <w:bottom w:w="80" w:type="dxa"/>
              <w:end w:w="120" w:type="dxa"/>
            </w:tcMar>
            <w:vAlign w:val="center"/>
          </w:tcPr>
          <w:p>
            <w:pPr>
              <w:spacing w:after="0" w:line="252" w:lineRule="auto"/>
            </w:pPr>
            <w:r>
              <w:rPr>
                <w:rFonts w:ascii="Calibri" w:hAnsi="Calibri"/>
                <w:b w:val="0"/>
                <w:i w:val="0"/>
                <w:color w:val="111111"/>
                <w:sz w:val="19"/>
              </w:rPr>
              <w:t>Years of experience</w:t>
            </w:r>
          </w:p>
        </w:tc>
        <w:tc>
          <w:tcPr>
            <w:tcW w:type="dxa" w:w="7160"/>
            <w:tcMar>
              <w:top w:w="80" w:type="dxa"/>
              <w:start w:w="120" w:type="dxa"/>
              <w:bottom w:w="80" w:type="dxa"/>
              <w:end w:w="120" w:type="dxa"/>
            </w:tcMar>
            <w:vAlign w:val="center"/>
          </w:tcPr>
          <w:p>
            <w:pPr>
              <w:spacing w:after="0" w:line="252" w:lineRule="auto"/>
            </w:pPr>
            <w:r>
              <w:rPr>
                <w:rFonts w:ascii="Calibri" w:hAnsi="Calibri"/>
                <w:b w:val="0"/>
                <w:i w:val="0"/>
                <w:color w:val="111111"/>
                <w:sz w:val="19"/>
              </w:rPr>
              <w:t>12 years (2014-2026)</w:t>
            </w:r>
          </w:p>
        </w:tc>
      </w:tr>
      <w:tr>
        <w:trPr>
          <w:cantSplit/>
        </w:trPr>
        <w:tc>
          <w:tcPr>
            <w:tcW w:type="dxa" w:w="22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9"/>
              </w:rPr>
              <w:t>Availability / deployment</w:t>
            </w:r>
          </w:p>
        </w:tc>
        <w:tc>
          <w:tcPr>
            <w:tcW w:type="dxa" w:w="71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9"/>
              </w:rPr>
              <w:t>50% at mobilization; full-time during main construction; 70% commissioning/handover; DLP audits as scheduled</w:t>
            </w:r>
          </w:p>
        </w:tc>
      </w:tr>
      <w:tr>
        <w:trPr>
          <w:cantSplit/>
        </w:trPr>
        <w:tc>
          <w:tcPr>
            <w:tcW w:type="dxa" w:w="2200"/>
            <w:tcMar>
              <w:top w:w="80" w:type="dxa"/>
              <w:start w:w="120" w:type="dxa"/>
              <w:bottom w:w="80" w:type="dxa"/>
              <w:end w:w="120" w:type="dxa"/>
            </w:tcMar>
            <w:vAlign w:val="center"/>
          </w:tcPr>
          <w:p>
            <w:pPr>
              <w:spacing w:after="0" w:line="252" w:lineRule="auto"/>
            </w:pPr>
            <w:r>
              <w:rPr>
                <w:rFonts w:ascii="Calibri" w:hAnsi="Calibri"/>
                <w:b w:val="0"/>
                <w:i w:val="0"/>
                <w:color w:val="111111"/>
                <w:sz w:val="19"/>
              </w:rPr>
              <w:t>Languages</w:t>
            </w:r>
          </w:p>
        </w:tc>
        <w:tc>
          <w:tcPr>
            <w:tcW w:type="dxa" w:w="7160"/>
            <w:tcMar>
              <w:top w:w="80" w:type="dxa"/>
              <w:start w:w="120" w:type="dxa"/>
              <w:bottom w:w="80" w:type="dxa"/>
              <w:end w:w="120" w:type="dxa"/>
            </w:tcMar>
            <w:vAlign w:val="center"/>
          </w:tcPr>
          <w:p>
            <w:pPr>
              <w:spacing w:after="0" w:line="252" w:lineRule="auto"/>
            </w:pPr>
            <w:r>
              <w:rPr>
                <w:rFonts w:ascii="Calibri" w:hAnsi="Calibri"/>
                <w:b w:val="0"/>
                <w:i w:val="0"/>
                <w:color w:val="111111"/>
                <w:sz w:val="19"/>
              </w:rPr>
              <w:t>English (native), Mano (conversational)</w:t>
            </w:r>
          </w:p>
        </w:tc>
      </w:tr>
    </w:tbl>
    <w:p>
      <w:pPr>
        <w:spacing w:before="0" w:after="40" w:line="300" w:lineRule="auto"/>
      </w:pPr>
    </w:p>
    <w:p>
      <w:pPr>
        <w:pStyle w:val="Heading2"/>
        <w:keepNext/>
      </w:pPr>
      <w:r>
        <w:t>Professional profile</w:t>
      </w:r>
    </w:p>
    <w:p>
      <w:pPr>
        <w:spacing w:before="0" w:after="120" w:line="300" w:lineRule="auto"/>
      </w:pPr>
      <w:r>
        <w:rPr>
          <w:rFonts w:ascii="Calibri" w:hAnsi="Calibri"/>
          <w:b w:val="0"/>
          <w:i w:val="0"/>
          <w:color w:val="111111"/>
          <w:sz w:val="22"/>
        </w:rPr>
        <w:t>Liberian civil engineer and quality specialist with assumed experience building inspection and test plans, submittal/material controls, audit schedules, NCR/corrective-action systems, quality dashboards, test witnessing, commissioning evidence and turnover dossiers for complex building projects.</w:t>
      </w:r>
    </w:p>
    <w:p>
      <w:pPr>
        <w:pStyle w:val="Heading2"/>
        <w:keepNext/>
      </w:pPr>
      <w:r>
        <w:t>Education and credentials</w:t>
      </w:r>
    </w:p>
    <w:p>
      <w:pPr>
        <w:spacing w:before="0" w:after="100" w:line="300" w:lineRule="auto"/>
        <w:numPr>
          <w:ilvl w:val="0"/>
          <w:numId w:val="10"/>
        </w:numPr>
      </w:pPr>
      <w:r>
        <w:rPr>
          <w:rFonts w:ascii="Calibri" w:hAnsi="Calibri"/>
          <w:b w:val="0"/>
          <w:i w:val="0"/>
          <w:color w:val="111111"/>
          <w:sz w:val="22"/>
        </w:rPr>
        <w:t>BSc, Civil Engineering, fictional Liberian university, 2014</w:t>
      </w:r>
    </w:p>
    <w:p>
      <w:pPr>
        <w:spacing w:before="0" w:after="100" w:line="300" w:lineRule="auto"/>
        <w:numPr>
          <w:ilvl w:val="0"/>
          <w:numId w:val="10"/>
        </w:numPr>
      </w:pPr>
      <w:r>
        <w:rPr>
          <w:rFonts w:ascii="Calibri" w:hAnsi="Calibri"/>
          <w:b w:val="0"/>
          <w:i w:val="0"/>
          <w:color w:val="111111"/>
          <w:sz w:val="22"/>
        </w:rPr>
        <w:t>ISO 9001:2015 Lead Auditor, assumed current</w:t>
      </w:r>
    </w:p>
    <w:p>
      <w:pPr>
        <w:spacing w:before="0" w:after="100" w:line="300" w:lineRule="auto"/>
        <w:numPr>
          <w:ilvl w:val="0"/>
          <w:numId w:val="10"/>
        </w:numPr>
      </w:pPr>
      <w:r>
        <w:rPr>
          <w:rFonts w:ascii="Calibri" w:hAnsi="Calibri"/>
          <w:b w:val="0"/>
          <w:i w:val="0"/>
          <w:color w:val="111111"/>
          <w:sz w:val="22"/>
        </w:rPr>
        <w:t>Certified Construction Quality Manager course, 2021</w:t>
      </w:r>
    </w:p>
    <w:p>
      <w:pPr>
        <w:spacing w:before="0" w:after="100" w:line="300" w:lineRule="auto"/>
        <w:numPr>
          <w:ilvl w:val="0"/>
          <w:numId w:val="10"/>
        </w:numPr>
      </w:pPr>
      <w:r>
        <w:rPr>
          <w:rFonts w:ascii="Calibri" w:hAnsi="Calibri"/>
          <w:b w:val="0"/>
          <w:i w:val="0"/>
          <w:color w:val="111111"/>
          <w:sz w:val="22"/>
        </w:rPr>
        <w:t>Training in materials testing, root-cause analysis and digital quality records</w:t>
      </w:r>
    </w:p>
    <w:p>
      <w:pPr>
        <w:pStyle w:val="Heading2"/>
        <w:keepNext/>
      </w:pPr>
      <w:r>
        <w:t>TOR responsibilities</w:t>
      </w:r>
    </w:p>
    <w:p>
      <w:pPr>
        <w:spacing w:before="0" w:after="100" w:line="300" w:lineRule="auto"/>
        <w:numPr>
          <w:ilvl w:val="0"/>
          <w:numId w:val="10"/>
        </w:numPr>
      </w:pPr>
      <w:r>
        <w:rPr>
          <w:rFonts w:ascii="Calibri" w:hAnsi="Calibri"/>
          <w:b w:val="0"/>
          <w:i w:val="0"/>
          <w:color w:val="111111"/>
          <w:sz w:val="22"/>
        </w:rPr>
        <w:t>Develop the project quality plan, discipline ITPs, hold/witness points and audit schedule</w:t>
      </w:r>
    </w:p>
    <w:p>
      <w:pPr>
        <w:spacing w:before="0" w:after="100" w:line="300" w:lineRule="auto"/>
        <w:numPr>
          <w:ilvl w:val="0"/>
          <w:numId w:val="10"/>
        </w:numPr>
      </w:pPr>
      <w:r>
        <w:rPr>
          <w:rFonts w:ascii="Calibri" w:hAnsi="Calibri"/>
          <w:b w:val="0"/>
          <w:i w:val="0"/>
          <w:color w:val="111111"/>
          <w:sz w:val="22"/>
        </w:rPr>
        <w:t>Control material approvals, laboratory results, inspections, NCRs and corrective actions</w:t>
      </w:r>
    </w:p>
    <w:p>
      <w:pPr>
        <w:spacing w:before="0" w:after="100" w:line="300" w:lineRule="auto"/>
        <w:numPr>
          <w:ilvl w:val="0"/>
          <w:numId w:val="10"/>
        </w:numPr>
      </w:pPr>
      <w:r>
        <w:rPr>
          <w:rFonts w:ascii="Calibri" w:hAnsi="Calibri"/>
          <w:b w:val="0"/>
          <w:i w:val="0"/>
          <w:color w:val="111111"/>
          <w:sz w:val="22"/>
        </w:rPr>
        <w:t>Track quality KPIs and report trends and escalations</w:t>
      </w:r>
    </w:p>
    <w:p>
      <w:pPr>
        <w:spacing w:before="0" w:after="100" w:line="300" w:lineRule="auto"/>
        <w:numPr>
          <w:ilvl w:val="0"/>
          <w:numId w:val="10"/>
        </w:numPr>
      </w:pPr>
      <w:r>
        <w:rPr>
          <w:rFonts w:ascii="Calibri" w:hAnsi="Calibri"/>
          <w:b w:val="0"/>
          <w:i w:val="0"/>
          <w:color w:val="111111"/>
          <w:sz w:val="22"/>
        </w:rPr>
        <w:t>Coordinate commissioning evidence, punch lists and handover dossier completeness</w:t>
      </w:r>
    </w:p>
    <w:p>
      <w:pPr>
        <w:spacing w:before="0" w:after="100" w:line="300" w:lineRule="auto"/>
        <w:numPr>
          <w:ilvl w:val="0"/>
          <w:numId w:val="10"/>
        </w:numPr>
      </w:pPr>
      <w:r>
        <w:rPr>
          <w:rFonts w:ascii="Calibri" w:hAnsi="Calibri"/>
          <w:b w:val="0"/>
          <w:i w:val="0"/>
          <w:color w:val="111111"/>
          <w:sz w:val="22"/>
        </w:rPr>
        <w:t>Audit as-builts, O&amp;M manuals, warranties, training and DLP closure records</w:t>
      </w:r>
    </w:p>
    <w:p>
      <w:pPr>
        <w:pStyle w:val="Heading2"/>
        <w:keepNext/>
      </w:pPr>
      <w:r>
        <w:t>Employment record</w:t>
      </w:r>
    </w:p>
    <w:tbl>
      <w:tblPr>
        <w:tblStyle w:val="TableGrid"/>
        <w:tblW w:type="dxa" w:w="9360"/>
        <w:jc w:val="left"/>
        <w:tblLayout w:type="fixed"/>
        <w:tblLook w:firstColumn="1" w:firstRow="1" w:lastColumn="0" w:lastRow="0" w:noHBand="0" w:noVBand="1" w:val="04A0"/>
        <w:tblInd w:w="120" w:type="dxa"/>
      </w:tblPr>
      <w:tblGrid>
        <w:gridCol w:w="1500"/>
        <w:gridCol w:w="3200"/>
        <w:gridCol w:w="4660"/>
      </w:tblGrid>
      <w:tr>
        <w:trPr>
          <w:tblHeader w:val="true"/>
          <w:cantSplit/>
        </w:trPr>
        <w:tc>
          <w:tcPr>
            <w:tcW w:type="dxa" w:w="1500"/>
            <w:shd w:fill="18324A"/>
            <w:tcMar>
              <w:top w:w="80" w:type="dxa"/>
              <w:start w:w="120" w:type="dxa"/>
              <w:bottom w:w="80" w:type="dxa"/>
              <w:end w:w="120" w:type="dxa"/>
            </w:tcMar>
            <w:vAlign w:val="center"/>
          </w:tcPr>
          <w:p>
            <w:pPr>
              <w:spacing w:after="0"/>
              <w:jc w:val="center"/>
            </w:pPr>
            <w:r>
              <w:rPr>
                <w:rFonts w:ascii="Calibri" w:hAnsi="Calibri"/>
                <w:b/>
                <w:i w:val="0"/>
                <w:color w:val="FFFFFF"/>
                <w:sz w:val="17"/>
              </w:rPr>
              <w:t>Period</w:t>
            </w:r>
          </w:p>
        </w:tc>
        <w:tc>
          <w:tcPr>
            <w:tcW w:type="dxa" w:w="3200"/>
            <w:shd w:fill="18324A"/>
            <w:tcMar>
              <w:top w:w="80" w:type="dxa"/>
              <w:start w:w="120" w:type="dxa"/>
              <w:bottom w:w="80" w:type="dxa"/>
              <w:end w:w="120" w:type="dxa"/>
            </w:tcMar>
            <w:vAlign w:val="center"/>
          </w:tcPr>
          <w:p>
            <w:pPr>
              <w:spacing w:after="0"/>
              <w:jc w:val="center"/>
            </w:pPr>
            <w:r>
              <w:rPr>
                <w:rFonts w:ascii="Calibri" w:hAnsi="Calibri"/>
                <w:b/>
                <w:i w:val="0"/>
                <w:color w:val="FFFFFF"/>
                <w:sz w:val="17"/>
              </w:rPr>
              <w:t>Organization / position</w:t>
            </w:r>
          </w:p>
        </w:tc>
        <w:tc>
          <w:tcPr>
            <w:tcW w:type="dxa" w:w="4660"/>
            <w:shd w:fill="18324A"/>
            <w:tcMar>
              <w:top w:w="80" w:type="dxa"/>
              <w:start w:w="120" w:type="dxa"/>
              <w:bottom w:w="80" w:type="dxa"/>
              <w:end w:w="120" w:type="dxa"/>
            </w:tcMar>
            <w:vAlign w:val="center"/>
          </w:tcPr>
          <w:p>
            <w:pPr>
              <w:spacing w:after="0"/>
              <w:jc w:val="center"/>
            </w:pPr>
            <w:r>
              <w:rPr>
                <w:rFonts w:ascii="Calibri" w:hAnsi="Calibri"/>
                <w:b/>
                <w:i w:val="0"/>
                <w:color w:val="FFFFFF"/>
                <w:sz w:val="17"/>
              </w:rPr>
              <w:t>Selected responsibility</w:t>
            </w:r>
          </w:p>
        </w:tc>
      </w:tr>
      <w:tr>
        <w:trPr>
          <w:cantSplit/>
        </w:trPr>
        <w:tc>
          <w:tcPr>
            <w:tcW w:type="dxa" w:w="1500"/>
            <w:tcMar>
              <w:top w:w="80" w:type="dxa"/>
              <w:start w:w="120" w:type="dxa"/>
              <w:bottom w:w="80" w:type="dxa"/>
              <w:end w:w="120" w:type="dxa"/>
            </w:tcMar>
            <w:vAlign w:val="center"/>
          </w:tcPr>
          <w:p>
            <w:pPr>
              <w:spacing w:after="0" w:line="252" w:lineRule="auto"/>
            </w:pPr>
            <w:r>
              <w:rPr>
                <w:rFonts w:ascii="Calibri" w:hAnsi="Calibri"/>
                <w:b w:val="0"/>
                <w:i w:val="0"/>
                <w:color w:val="111111"/>
                <w:sz w:val="17"/>
              </w:rPr>
              <w:t>2021-present</w:t>
            </w:r>
          </w:p>
        </w:tc>
        <w:tc>
          <w:tcPr>
            <w:tcW w:type="dxa" w:w="3200"/>
            <w:tcMar>
              <w:top w:w="80" w:type="dxa"/>
              <w:start w:w="120" w:type="dxa"/>
              <w:bottom w:w="80" w:type="dxa"/>
              <w:end w:w="120" w:type="dxa"/>
            </w:tcMar>
            <w:vAlign w:val="center"/>
          </w:tcPr>
          <w:p>
            <w:pPr>
              <w:spacing w:after="0" w:line="252" w:lineRule="auto"/>
            </w:pPr>
            <w:r>
              <w:rPr>
                <w:rFonts w:ascii="Calibri" w:hAnsi="Calibri"/>
                <w:b w:val="0"/>
                <w:i w:val="0"/>
                <w:color w:val="111111"/>
                <w:sz w:val="17"/>
              </w:rPr>
              <w:t>Fictional QualityBuild Liberia - QA/QC Manager</w:t>
            </w:r>
          </w:p>
        </w:tc>
        <w:tc>
          <w:tcPr>
            <w:tcW w:type="dxa" w:w="4660"/>
            <w:tcMar>
              <w:top w:w="80" w:type="dxa"/>
              <w:start w:w="120" w:type="dxa"/>
              <w:bottom w:w="80" w:type="dxa"/>
              <w:end w:w="120" w:type="dxa"/>
            </w:tcMar>
            <w:vAlign w:val="center"/>
          </w:tcPr>
          <w:p>
            <w:pPr>
              <w:spacing w:after="0" w:line="252" w:lineRule="auto"/>
            </w:pPr>
            <w:r>
              <w:rPr>
                <w:rFonts w:ascii="Calibri" w:hAnsi="Calibri"/>
                <w:b w:val="0"/>
                <w:i w:val="0"/>
                <w:color w:val="111111"/>
                <w:sz w:val="17"/>
              </w:rPr>
              <w:t>Project quality systems and audits</w:t>
            </w:r>
          </w:p>
        </w:tc>
      </w:tr>
      <w:tr>
        <w:trPr>
          <w:cantSplit/>
        </w:trPr>
        <w:tc>
          <w:tcPr>
            <w:tcW w:type="dxa" w:w="15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7"/>
              </w:rPr>
              <w:t>2017-2021</w:t>
            </w:r>
          </w:p>
        </w:tc>
        <w:tc>
          <w:tcPr>
            <w:tcW w:type="dxa" w:w="32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7"/>
              </w:rPr>
              <w:t>Fictional Atlantic Engineering Liberia - Quality Engineer</w:t>
            </w:r>
          </w:p>
        </w:tc>
        <w:tc>
          <w:tcPr>
            <w:tcW w:type="dxa" w:w="46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7"/>
              </w:rPr>
              <w:t>Inspection/test records and NCR management</w:t>
            </w:r>
          </w:p>
        </w:tc>
      </w:tr>
      <w:tr>
        <w:trPr>
          <w:cantSplit/>
        </w:trPr>
        <w:tc>
          <w:tcPr>
            <w:tcW w:type="dxa" w:w="1500"/>
            <w:tcMar>
              <w:top w:w="80" w:type="dxa"/>
              <w:start w:w="120" w:type="dxa"/>
              <w:bottom w:w="80" w:type="dxa"/>
              <w:end w:w="120" w:type="dxa"/>
            </w:tcMar>
            <w:vAlign w:val="center"/>
          </w:tcPr>
          <w:p>
            <w:pPr>
              <w:spacing w:after="0" w:line="252" w:lineRule="auto"/>
            </w:pPr>
            <w:r>
              <w:rPr>
                <w:rFonts w:ascii="Calibri" w:hAnsi="Calibri"/>
                <w:b w:val="0"/>
                <w:i w:val="0"/>
                <w:color w:val="111111"/>
                <w:sz w:val="17"/>
              </w:rPr>
              <w:t>2014-2017</w:t>
            </w:r>
          </w:p>
        </w:tc>
        <w:tc>
          <w:tcPr>
            <w:tcW w:type="dxa" w:w="3200"/>
            <w:tcMar>
              <w:top w:w="80" w:type="dxa"/>
              <w:start w:w="120" w:type="dxa"/>
              <w:bottom w:w="80" w:type="dxa"/>
              <w:end w:w="120" w:type="dxa"/>
            </w:tcMar>
            <w:vAlign w:val="center"/>
          </w:tcPr>
          <w:p>
            <w:pPr>
              <w:spacing w:after="0" w:line="252" w:lineRule="auto"/>
            </w:pPr>
            <w:r>
              <w:rPr>
                <w:rFonts w:ascii="Calibri" w:hAnsi="Calibri"/>
                <w:b w:val="0"/>
                <w:i w:val="0"/>
                <w:color w:val="111111"/>
                <w:sz w:val="17"/>
              </w:rPr>
              <w:t>Fictional Civil Materials Laboratory - Materials Engineer</w:t>
            </w:r>
          </w:p>
        </w:tc>
        <w:tc>
          <w:tcPr>
            <w:tcW w:type="dxa" w:w="4660"/>
            <w:tcMar>
              <w:top w:w="80" w:type="dxa"/>
              <w:start w:w="120" w:type="dxa"/>
              <w:bottom w:w="80" w:type="dxa"/>
              <w:end w:w="120" w:type="dxa"/>
            </w:tcMar>
            <w:vAlign w:val="center"/>
          </w:tcPr>
          <w:p>
            <w:pPr>
              <w:spacing w:after="0" w:line="252" w:lineRule="auto"/>
            </w:pPr>
            <w:r>
              <w:rPr>
                <w:rFonts w:ascii="Calibri" w:hAnsi="Calibri"/>
                <w:b w:val="0"/>
                <w:i w:val="0"/>
                <w:color w:val="111111"/>
                <w:sz w:val="17"/>
              </w:rPr>
              <w:t>Concrete, steel and soils testing</w:t>
            </w:r>
          </w:p>
        </w:tc>
      </w:tr>
    </w:tbl>
    <w:p>
      <w:pPr>
        <w:spacing w:before="0" w:after="40" w:line="300" w:lineRule="auto"/>
      </w:pPr>
    </w:p>
    <w:p>
      <w:pPr>
        <w:pStyle w:val="Heading2"/>
        <w:keepNext/>
      </w:pPr>
      <w:r>
        <w:t>Most relevant assignments</w:t>
      </w:r>
    </w:p>
    <w:tbl>
      <w:tblPr>
        <w:tblStyle w:val="TableGrid"/>
        <w:tblW w:type="dxa" w:w="9360"/>
        <w:jc w:val="left"/>
        <w:tblLayout w:type="fixed"/>
        <w:tblLook w:firstColumn="1" w:firstRow="1" w:lastColumn="0" w:lastRow="0" w:noHBand="0" w:noVBand="1" w:val="04A0"/>
        <w:tblInd w:w="120" w:type="dxa"/>
      </w:tblPr>
      <w:tblGrid>
        <w:gridCol w:w="1500"/>
        <w:gridCol w:w="3300"/>
        <w:gridCol w:w="4560"/>
      </w:tblGrid>
      <w:tr>
        <w:trPr>
          <w:tblHeader w:val="true"/>
          <w:cantSplit/>
        </w:trPr>
        <w:tc>
          <w:tcPr>
            <w:tcW w:type="dxa" w:w="1500"/>
            <w:shd w:fill="18324A"/>
            <w:tcMar>
              <w:top w:w="80" w:type="dxa"/>
              <w:start w:w="120" w:type="dxa"/>
              <w:bottom w:w="80" w:type="dxa"/>
              <w:end w:w="120" w:type="dxa"/>
            </w:tcMar>
            <w:vAlign w:val="center"/>
          </w:tcPr>
          <w:p>
            <w:pPr>
              <w:spacing w:after="0"/>
              <w:jc w:val="center"/>
            </w:pPr>
            <w:r>
              <w:rPr>
                <w:rFonts w:ascii="Calibri" w:hAnsi="Calibri"/>
                <w:b/>
                <w:i w:val="0"/>
                <w:color w:val="FFFFFF"/>
                <w:sz w:val="16"/>
              </w:rPr>
              <w:t>Year / location</w:t>
            </w:r>
          </w:p>
        </w:tc>
        <w:tc>
          <w:tcPr>
            <w:tcW w:type="dxa" w:w="3300"/>
            <w:shd w:fill="18324A"/>
            <w:tcMar>
              <w:top w:w="80" w:type="dxa"/>
              <w:start w:w="120" w:type="dxa"/>
              <w:bottom w:w="80" w:type="dxa"/>
              <w:end w:w="120" w:type="dxa"/>
            </w:tcMar>
            <w:vAlign w:val="center"/>
          </w:tcPr>
          <w:p>
            <w:pPr>
              <w:spacing w:after="0"/>
              <w:jc w:val="center"/>
            </w:pPr>
            <w:r>
              <w:rPr>
                <w:rFonts w:ascii="Calibri" w:hAnsi="Calibri"/>
                <w:b/>
                <w:i w:val="0"/>
                <w:color w:val="FFFFFF"/>
                <w:sz w:val="16"/>
              </w:rPr>
              <w:t>Fictional assignment and client</w:t>
            </w:r>
          </w:p>
        </w:tc>
        <w:tc>
          <w:tcPr>
            <w:tcW w:type="dxa" w:w="4560"/>
            <w:shd w:fill="18324A"/>
            <w:tcMar>
              <w:top w:w="80" w:type="dxa"/>
              <w:start w:w="120" w:type="dxa"/>
              <w:bottom w:w="80" w:type="dxa"/>
              <w:end w:w="120" w:type="dxa"/>
            </w:tcMar>
            <w:vAlign w:val="center"/>
          </w:tcPr>
          <w:p>
            <w:pPr>
              <w:spacing w:after="0"/>
              <w:jc w:val="center"/>
            </w:pPr>
            <w:r>
              <w:rPr>
                <w:rFonts w:ascii="Calibri" w:hAnsi="Calibri"/>
                <w:b/>
                <w:i w:val="0"/>
                <w:color w:val="FFFFFF"/>
                <w:sz w:val="16"/>
              </w:rPr>
              <w:t>Role and relevance</w:t>
            </w:r>
          </w:p>
        </w:tc>
      </w:tr>
      <w:tr>
        <w:trPr>
          <w:cantSplit/>
        </w:trPr>
        <w:tc>
          <w:tcPr>
            <w:tcW w:type="dxa" w:w="1500"/>
            <w:tcMar>
              <w:top w:w="80" w:type="dxa"/>
              <w:start w:w="120" w:type="dxa"/>
              <w:bottom w:w="80" w:type="dxa"/>
              <w:end w:w="120" w:type="dxa"/>
            </w:tcMar>
            <w:vAlign w:val="center"/>
          </w:tcPr>
          <w:p>
            <w:pPr>
              <w:spacing w:after="0" w:line="252" w:lineRule="auto"/>
            </w:pPr>
            <w:r>
              <w:rPr>
                <w:rFonts w:ascii="Calibri" w:hAnsi="Calibri"/>
                <w:b w:val="0"/>
                <w:i w:val="0"/>
                <w:color w:val="111111"/>
                <w:sz w:val="16"/>
              </w:rPr>
              <w:t>2023-2025 / Liberia</w:t>
            </w:r>
          </w:p>
        </w:tc>
        <w:tc>
          <w:tcPr>
            <w:tcW w:type="dxa" w:w="3300"/>
            <w:tcMar>
              <w:top w:w="80" w:type="dxa"/>
              <w:start w:w="120" w:type="dxa"/>
              <w:bottom w:w="80" w:type="dxa"/>
              <w:end w:w="120" w:type="dxa"/>
            </w:tcMar>
            <w:vAlign w:val="center"/>
          </w:tcPr>
          <w:p>
            <w:pPr>
              <w:spacing w:after="0" w:line="252" w:lineRule="auto"/>
            </w:pPr>
            <w:r>
              <w:rPr>
                <w:rFonts w:ascii="Calibri" w:hAnsi="Calibri"/>
                <w:b w:val="0"/>
                <w:i w:val="0"/>
                <w:color w:val="111111"/>
                <w:sz w:val="16"/>
              </w:rPr>
              <w:t>Monrovia Digital Administration Centre</w:t>
            </w:r>
          </w:p>
        </w:tc>
        <w:tc>
          <w:tcPr>
            <w:tcW w:type="dxa" w:w="4560"/>
            <w:tcMar>
              <w:top w:w="80" w:type="dxa"/>
              <w:start w:w="120" w:type="dxa"/>
              <w:bottom w:w="80" w:type="dxa"/>
              <w:end w:w="120" w:type="dxa"/>
            </w:tcMar>
            <w:vAlign w:val="center"/>
          </w:tcPr>
          <w:p>
            <w:pPr>
              <w:spacing w:after="0" w:line="252" w:lineRule="auto"/>
            </w:pPr>
            <w:r>
              <w:rPr>
                <w:rFonts w:ascii="Calibri" w:hAnsi="Calibri"/>
                <w:b w:val="0"/>
                <w:i w:val="0"/>
                <w:color w:val="111111"/>
                <w:sz w:val="16"/>
              </w:rPr>
              <w:t>QA/QC manager; digital ITP/NCR system and turnover dossier</w:t>
            </w:r>
          </w:p>
        </w:tc>
      </w:tr>
      <w:tr>
        <w:trPr>
          <w:cantSplit/>
        </w:trPr>
        <w:tc>
          <w:tcPr>
            <w:tcW w:type="dxa" w:w="15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2020-2023 / Liberia</w:t>
            </w:r>
          </w:p>
        </w:tc>
        <w:tc>
          <w:tcPr>
            <w:tcW w:type="dxa" w:w="33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National Records and Archive Facility</w:t>
            </w:r>
          </w:p>
        </w:tc>
        <w:tc>
          <w:tcPr>
            <w:tcW w:type="dxa" w:w="45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Quality engineer; envelope, MEP interfaces and controlled spaces</w:t>
            </w:r>
          </w:p>
        </w:tc>
      </w:tr>
      <w:tr>
        <w:trPr>
          <w:cantSplit/>
        </w:trPr>
        <w:tc>
          <w:tcPr>
            <w:tcW w:type="dxa" w:w="1500"/>
            <w:tcMar>
              <w:top w:w="80" w:type="dxa"/>
              <w:start w:w="120" w:type="dxa"/>
              <w:bottom w:w="80" w:type="dxa"/>
              <w:end w:w="120" w:type="dxa"/>
            </w:tcMar>
            <w:vAlign w:val="center"/>
          </w:tcPr>
          <w:p>
            <w:pPr>
              <w:spacing w:after="0" w:line="252" w:lineRule="auto"/>
            </w:pPr>
            <w:r>
              <w:rPr>
                <w:rFonts w:ascii="Calibri" w:hAnsi="Calibri"/>
                <w:b w:val="0"/>
                <w:i w:val="0"/>
                <w:color w:val="111111"/>
                <w:sz w:val="16"/>
              </w:rPr>
              <w:t>2018-2021 / Sierra Leone</w:t>
            </w:r>
          </w:p>
        </w:tc>
        <w:tc>
          <w:tcPr>
            <w:tcW w:type="dxa" w:w="3300"/>
            <w:tcMar>
              <w:top w:w="80" w:type="dxa"/>
              <w:start w:w="120" w:type="dxa"/>
              <w:bottom w:w="80" w:type="dxa"/>
              <w:end w:w="120" w:type="dxa"/>
            </w:tcMar>
            <w:vAlign w:val="center"/>
          </w:tcPr>
          <w:p>
            <w:pPr>
              <w:spacing w:after="0" w:line="252" w:lineRule="auto"/>
            </w:pPr>
            <w:r>
              <w:rPr>
                <w:rFonts w:ascii="Calibri" w:hAnsi="Calibri"/>
                <w:b w:val="0"/>
                <w:i w:val="0"/>
                <w:color w:val="111111"/>
                <w:sz w:val="16"/>
              </w:rPr>
              <w:t>Regional Revenue Headquarters</w:t>
            </w:r>
          </w:p>
        </w:tc>
        <w:tc>
          <w:tcPr>
            <w:tcW w:type="dxa" w:w="4560"/>
            <w:tcMar>
              <w:top w:w="80" w:type="dxa"/>
              <w:start w:w="120" w:type="dxa"/>
              <w:bottom w:w="80" w:type="dxa"/>
              <w:end w:w="120" w:type="dxa"/>
            </w:tcMar>
            <w:vAlign w:val="center"/>
          </w:tcPr>
          <w:p>
            <w:pPr>
              <w:spacing w:after="0" w:line="252" w:lineRule="auto"/>
            </w:pPr>
            <w:r>
              <w:rPr>
                <w:rFonts w:ascii="Calibri" w:hAnsi="Calibri"/>
                <w:b w:val="0"/>
                <w:i w:val="0"/>
                <w:color w:val="111111"/>
                <w:sz w:val="16"/>
              </w:rPr>
              <w:t>QA/QC engineer; audits and corrective action</w:t>
            </w:r>
          </w:p>
        </w:tc>
      </w:tr>
      <w:tr>
        <w:trPr>
          <w:cantSplit/>
        </w:trPr>
        <w:tc>
          <w:tcPr>
            <w:tcW w:type="dxa" w:w="15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2016-2019 / Liberia</w:t>
            </w:r>
          </w:p>
        </w:tc>
        <w:tc>
          <w:tcPr>
            <w:tcW w:type="dxa" w:w="33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Coastal Emergency Operations Centre</w:t>
            </w:r>
          </w:p>
        </w:tc>
        <w:tc>
          <w:tcPr>
            <w:tcW w:type="dxa" w:w="45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Materials and quality engineer; durability testing</w:t>
            </w:r>
          </w:p>
        </w:tc>
      </w:tr>
    </w:tbl>
    <w:p>
      <w:pPr>
        <w:spacing w:before="0" w:after="40" w:line="300" w:lineRule="auto"/>
      </w:pPr>
    </w:p>
    <w:p>
      <w:pPr>
        <w:pStyle w:val="Heading2"/>
        <w:keepNext/>
      </w:pPr>
      <w:r>
        <w:t>Evidence to attach before a real submission</w:t>
      </w:r>
    </w:p>
    <w:p>
      <w:pPr>
        <w:spacing w:before="0" w:after="100" w:line="300" w:lineRule="auto"/>
        <w:numPr>
          <w:ilvl w:val="0"/>
          <w:numId w:val="10"/>
        </w:numPr>
      </w:pPr>
      <w:r>
        <w:rPr>
          <w:rFonts w:ascii="Calibri" w:hAnsi="Calibri"/>
          <w:b w:val="0"/>
          <w:i w:val="0"/>
          <w:color w:val="111111"/>
          <w:sz w:val="22"/>
        </w:rPr>
        <w:t>Liberian nationality evidence</w:t>
      </w:r>
    </w:p>
    <w:p>
      <w:pPr>
        <w:spacing w:before="0" w:after="100" w:line="300" w:lineRule="auto"/>
        <w:numPr>
          <w:ilvl w:val="0"/>
          <w:numId w:val="10"/>
        </w:numPr>
      </w:pPr>
      <w:r>
        <w:rPr>
          <w:rFonts w:ascii="Calibri" w:hAnsi="Calibri"/>
          <w:b w:val="0"/>
          <w:i w:val="0"/>
          <w:color w:val="111111"/>
          <w:sz w:val="22"/>
        </w:rPr>
        <w:t>Degree and ISO lead-auditor certificate verification</w:t>
      </w:r>
    </w:p>
    <w:p>
      <w:pPr>
        <w:spacing w:before="0" w:after="100" w:line="300" w:lineRule="auto"/>
        <w:numPr>
          <w:ilvl w:val="0"/>
          <w:numId w:val="10"/>
        </w:numPr>
      </w:pPr>
      <w:r>
        <w:rPr>
          <w:rFonts w:ascii="Calibri" w:hAnsi="Calibri"/>
          <w:b w:val="0"/>
          <w:i w:val="0"/>
          <w:color w:val="111111"/>
          <w:sz w:val="22"/>
        </w:rPr>
        <w:t>Employer/client evidence of QA/QC responsibilities</w:t>
      </w:r>
    </w:p>
    <w:p>
      <w:pPr>
        <w:spacing w:before="0" w:after="100" w:line="300" w:lineRule="auto"/>
        <w:numPr>
          <w:ilvl w:val="0"/>
          <w:numId w:val="10"/>
        </w:numPr>
      </w:pPr>
      <w:r>
        <w:rPr>
          <w:rFonts w:ascii="Calibri" w:hAnsi="Calibri"/>
          <w:b w:val="0"/>
          <w:i w:val="0"/>
          <w:color w:val="111111"/>
          <w:sz w:val="22"/>
        </w:rPr>
        <w:t>Redacted sample quality plan, ITP, NCR log or audit report</w:t>
      </w:r>
    </w:p>
    <w:p>
      <w:pPr>
        <w:spacing w:before="0" w:after="100" w:line="300" w:lineRule="auto"/>
        <w:numPr>
          <w:ilvl w:val="0"/>
          <w:numId w:val="10"/>
        </w:numPr>
      </w:pPr>
      <w:r>
        <w:rPr>
          <w:rFonts w:ascii="Calibri" w:hAnsi="Calibri"/>
          <w:b w:val="0"/>
          <w:i w:val="0"/>
          <w:color w:val="111111"/>
          <w:sz w:val="22"/>
        </w:rPr>
        <w:t>Signed CV and availability statement</w:t>
      </w:r>
    </w:p>
    <w:tbl>
      <w:tblPr>
        <w:tblW w:type="dxa" w:w="9360"/>
        <w:jc w:val="left"/>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vAlign w:val="center"/>
            <w:shd w:fill="FFF7E6"/>
          </w:tcPr>
          <w:p>
            <w:pPr>
              <w:spacing w:after="40"/>
            </w:pPr>
            <w:r>
              <w:rPr>
                <w:rFonts w:ascii="Calibri" w:hAnsi="Calibri"/>
                <w:b/>
                <w:i w:val="0"/>
                <w:color w:val="B58220"/>
                <w:sz w:val="22"/>
              </w:rPr>
              <w:t xml:space="preserve">CV declaration: </w:t>
            </w:r>
            <w:r>
              <w:rPr>
                <w:rFonts w:ascii="Calibri" w:hAnsi="Calibri"/>
                <w:b w:val="0"/>
                <w:i w:val="0"/>
                <w:color w:val="111111"/>
                <w:sz w:val="22"/>
              </w:rPr>
              <w:t>This teaching CV is fictional. In a real bid, the expert must review and sign a truthful CV; the bidder must verify degrees, registrations, certifications, employment, availability, and project references.</w:t>
            </w:r>
          </w:p>
        </w:tc>
      </w:tr>
    </w:tbl>
    <w:p>
      <w:pPr>
        <w:spacing w:before="0" w:after="40" w:line="300" w:lineRule="auto"/>
      </w:pPr>
    </w:p>
    <w:p>
      <w:r>
        <w:br w:type="page"/>
      </w:r>
    </w:p>
    <w:p>
      <w:pPr>
        <w:spacing w:before="0" w:after="40" w:line="300" w:lineRule="auto"/>
      </w:pPr>
      <w:r>
        <w:rPr>
          <w:rFonts w:ascii="Calibri" w:hAnsi="Calibri"/>
          <w:b/>
          <w:i w:val="0"/>
          <w:color w:val="167D8D"/>
          <w:sz w:val="18"/>
        </w:rPr>
        <w:t>CURRICULUM VITAE | KEY EXPERT</w:t>
      </w:r>
    </w:p>
    <w:p>
      <w:pPr>
        <w:spacing w:before="0" w:after="40" w:line="300" w:lineRule="auto"/>
      </w:pPr>
      <w:r>
        <w:rPr>
          <w:rFonts w:ascii="Calibri" w:hAnsi="Calibri"/>
          <w:b/>
          <w:i w:val="0"/>
          <w:color w:val="18324A"/>
          <w:sz w:val="44"/>
        </w:rPr>
        <w:t>Karim Nassar</w:t>
      </w:r>
    </w:p>
    <w:p>
      <w:pPr>
        <w:spacing w:before="0" w:after="200" w:line="300" w:lineRule="auto"/>
      </w:pPr>
      <w:r>
        <w:rPr>
          <w:rFonts w:ascii="Calibri" w:hAnsi="Calibri"/>
          <w:b/>
          <w:i w:val="0"/>
          <w:color w:val="2E74B5"/>
          <w:sz w:val="26"/>
        </w:rPr>
        <w:t>K-7 - Security Systems Specialist (Physical &amp; Cyber)</w:t>
      </w:r>
    </w:p>
    <w:tbl>
      <w:tblPr>
        <w:tblStyle w:val="TableGrid"/>
        <w:tblW w:type="dxa" w:w="9360"/>
        <w:jc w:val="left"/>
        <w:tblLayout w:type="fixed"/>
        <w:tblLook w:firstColumn="1" w:firstRow="1" w:lastColumn="0" w:lastRow="0" w:noHBand="0" w:noVBand="1" w:val="04A0"/>
        <w:tblInd w:w="120" w:type="dxa"/>
      </w:tblPr>
      <w:tblGrid>
        <w:gridCol w:w="2200"/>
        <w:gridCol w:w="7160"/>
      </w:tblGrid>
      <w:tr>
        <w:trPr>
          <w:tblHeader w:val="true"/>
          <w:cantSplit/>
        </w:trPr>
        <w:tc>
          <w:tcPr>
            <w:tcW w:type="dxa" w:w="2200"/>
            <w:shd w:fill="18324A"/>
            <w:tcMar>
              <w:top w:w="80" w:type="dxa"/>
              <w:start w:w="120" w:type="dxa"/>
              <w:bottom w:w="80" w:type="dxa"/>
              <w:end w:w="120" w:type="dxa"/>
            </w:tcMar>
            <w:vAlign w:val="center"/>
          </w:tcPr>
          <w:p>
            <w:pPr>
              <w:spacing w:after="0"/>
              <w:jc w:val="center"/>
            </w:pPr>
            <w:r>
              <w:rPr>
                <w:rFonts w:ascii="Calibri" w:hAnsi="Calibri"/>
                <w:b/>
                <w:i w:val="0"/>
                <w:color w:val="FFFFFF"/>
                <w:sz w:val="19"/>
              </w:rPr>
              <w:t>Field</w:t>
            </w:r>
          </w:p>
        </w:tc>
        <w:tc>
          <w:tcPr>
            <w:tcW w:type="dxa" w:w="7160"/>
            <w:shd w:fill="18324A"/>
            <w:tcMar>
              <w:top w:w="80" w:type="dxa"/>
              <w:start w:w="120" w:type="dxa"/>
              <w:bottom w:w="80" w:type="dxa"/>
              <w:end w:w="120" w:type="dxa"/>
            </w:tcMar>
            <w:vAlign w:val="center"/>
          </w:tcPr>
          <w:p>
            <w:pPr>
              <w:spacing w:after="0"/>
              <w:jc w:val="center"/>
            </w:pPr>
            <w:r>
              <w:rPr>
                <w:rFonts w:ascii="Calibri" w:hAnsi="Calibri"/>
                <w:b/>
                <w:i w:val="0"/>
                <w:color w:val="FFFFFF"/>
                <w:sz w:val="19"/>
              </w:rPr>
              <w:t>Details</w:t>
            </w:r>
          </w:p>
        </w:tc>
      </w:tr>
      <w:tr>
        <w:trPr>
          <w:cantSplit/>
        </w:trPr>
        <w:tc>
          <w:tcPr>
            <w:tcW w:type="dxa" w:w="2200"/>
            <w:tcMar>
              <w:top w:w="80" w:type="dxa"/>
              <w:start w:w="120" w:type="dxa"/>
              <w:bottom w:w="80" w:type="dxa"/>
              <w:end w:w="120" w:type="dxa"/>
            </w:tcMar>
            <w:vAlign w:val="center"/>
          </w:tcPr>
          <w:p>
            <w:pPr>
              <w:spacing w:after="0" w:line="252" w:lineRule="auto"/>
            </w:pPr>
            <w:r>
              <w:rPr>
                <w:rFonts w:ascii="Calibri" w:hAnsi="Calibri"/>
                <w:b w:val="0"/>
                <w:i w:val="0"/>
                <w:color w:val="111111"/>
                <w:sz w:val="19"/>
              </w:rPr>
              <w:t>Nationality</w:t>
            </w:r>
          </w:p>
        </w:tc>
        <w:tc>
          <w:tcPr>
            <w:tcW w:type="dxa" w:w="7160"/>
            <w:tcMar>
              <w:top w:w="80" w:type="dxa"/>
              <w:start w:w="120" w:type="dxa"/>
              <w:bottom w:w="80" w:type="dxa"/>
              <w:end w:w="120" w:type="dxa"/>
            </w:tcMar>
            <w:vAlign w:val="center"/>
          </w:tcPr>
          <w:p>
            <w:pPr>
              <w:spacing w:after="0" w:line="252" w:lineRule="auto"/>
            </w:pPr>
            <w:r>
              <w:rPr>
                <w:rFonts w:ascii="Calibri" w:hAnsi="Calibri"/>
                <w:b w:val="0"/>
                <w:i w:val="0"/>
                <w:color w:val="111111"/>
                <w:sz w:val="19"/>
              </w:rPr>
              <w:t>Lebanese</w:t>
            </w:r>
          </w:p>
        </w:tc>
      </w:tr>
      <w:tr>
        <w:trPr>
          <w:cantSplit/>
        </w:trPr>
        <w:tc>
          <w:tcPr>
            <w:tcW w:type="dxa" w:w="22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9"/>
              </w:rPr>
              <w:t>Current employer</w:t>
            </w:r>
          </w:p>
        </w:tc>
        <w:tc>
          <w:tcPr>
            <w:tcW w:type="dxa" w:w="71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9"/>
              </w:rPr>
              <w:t>Cedars Integrated Consulting S.A.L. - Critical Infrastructure Security Lead (fictional)</w:t>
            </w:r>
          </w:p>
        </w:tc>
      </w:tr>
      <w:tr>
        <w:trPr>
          <w:cantSplit/>
        </w:trPr>
        <w:tc>
          <w:tcPr>
            <w:tcW w:type="dxa" w:w="2200"/>
            <w:tcMar>
              <w:top w:w="80" w:type="dxa"/>
              <w:start w:w="120" w:type="dxa"/>
              <w:bottom w:w="80" w:type="dxa"/>
              <w:end w:w="120" w:type="dxa"/>
            </w:tcMar>
            <w:vAlign w:val="center"/>
          </w:tcPr>
          <w:p>
            <w:pPr>
              <w:spacing w:after="0" w:line="252" w:lineRule="auto"/>
            </w:pPr>
            <w:r>
              <w:rPr>
                <w:rFonts w:ascii="Calibri" w:hAnsi="Calibri"/>
                <w:b w:val="0"/>
                <w:i w:val="0"/>
                <w:color w:val="111111"/>
                <w:sz w:val="19"/>
              </w:rPr>
              <w:t>Years of experience</w:t>
            </w:r>
          </w:p>
        </w:tc>
        <w:tc>
          <w:tcPr>
            <w:tcW w:type="dxa" w:w="7160"/>
            <w:tcMar>
              <w:top w:w="80" w:type="dxa"/>
              <w:start w:w="120" w:type="dxa"/>
              <w:bottom w:w="80" w:type="dxa"/>
              <w:end w:w="120" w:type="dxa"/>
            </w:tcMar>
            <w:vAlign w:val="center"/>
          </w:tcPr>
          <w:p>
            <w:pPr>
              <w:spacing w:after="0" w:line="252" w:lineRule="auto"/>
            </w:pPr>
            <w:r>
              <w:rPr>
                <w:rFonts w:ascii="Calibri" w:hAnsi="Calibri"/>
                <w:b w:val="0"/>
                <w:i w:val="0"/>
                <w:color w:val="111111"/>
                <w:sz w:val="19"/>
              </w:rPr>
              <w:t>14 years (2012-2026)</w:t>
            </w:r>
          </w:p>
        </w:tc>
      </w:tr>
      <w:tr>
        <w:trPr>
          <w:cantSplit/>
        </w:trPr>
        <w:tc>
          <w:tcPr>
            <w:tcW w:type="dxa" w:w="22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9"/>
              </w:rPr>
              <w:t>Availability / deployment</w:t>
            </w:r>
          </w:p>
        </w:tc>
        <w:tc>
          <w:tcPr>
            <w:tcW w:type="dxa" w:w="71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9"/>
              </w:rPr>
              <w:t>60% design; 30% procurement; 70% installation/testing; on-site for threat workshops and final acceptance</w:t>
            </w:r>
          </w:p>
        </w:tc>
      </w:tr>
      <w:tr>
        <w:trPr>
          <w:cantSplit/>
        </w:trPr>
        <w:tc>
          <w:tcPr>
            <w:tcW w:type="dxa" w:w="2200"/>
            <w:tcMar>
              <w:top w:w="80" w:type="dxa"/>
              <w:start w:w="120" w:type="dxa"/>
              <w:bottom w:w="80" w:type="dxa"/>
              <w:end w:w="120" w:type="dxa"/>
            </w:tcMar>
            <w:vAlign w:val="center"/>
          </w:tcPr>
          <w:p>
            <w:pPr>
              <w:spacing w:after="0" w:line="252" w:lineRule="auto"/>
            </w:pPr>
            <w:r>
              <w:rPr>
                <w:rFonts w:ascii="Calibri" w:hAnsi="Calibri"/>
                <w:b w:val="0"/>
                <w:i w:val="0"/>
                <w:color w:val="111111"/>
                <w:sz w:val="19"/>
              </w:rPr>
              <w:t>Languages</w:t>
            </w:r>
          </w:p>
        </w:tc>
        <w:tc>
          <w:tcPr>
            <w:tcW w:type="dxa" w:w="7160"/>
            <w:tcMar>
              <w:top w:w="80" w:type="dxa"/>
              <w:start w:w="120" w:type="dxa"/>
              <w:bottom w:w="80" w:type="dxa"/>
              <w:end w:w="120" w:type="dxa"/>
            </w:tcMar>
            <w:vAlign w:val="center"/>
          </w:tcPr>
          <w:p>
            <w:pPr>
              <w:spacing w:after="0" w:line="252" w:lineRule="auto"/>
            </w:pPr>
            <w:r>
              <w:rPr>
                <w:rFonts w:ascii="Calibri" w:hAnsi="Calibri"/>
                <w:b w:val="0"/>
                <w:i w:val="0"/>
                <w:color w:val="111111"/>
                <w:sz w:val="19"/>
              </w:rPr>
              <w:t>Arabic (native), English (fluent), French (professional)</w:t>
            </w:r>
          </w:p>
        </w:tc>
      </w:tr>
    </w:tbl>
    <w:p>
      <w:pPr>
        <w:spacing w:before="0" w:after="40" w:line="300" w:lineRule="auto"/>
      </w:pPr>
    </w:p>
    <w:p>
      <w:pPr>
        <w:pStyle w:val="Heading2"/>
        <w:keepNext/>
      </w:pPr>
      <w:r>
        <w:t>Professional profile</w:t>
      </w:r>
    </w:p>
    <w:p>
      <w:pPr>
        <w:spacing w:before="0" w:after="120" w:line="300" w:lineRule="auto"/>
      </w:pPr>
      <w:r>
        <w:rPr>
          <w:rFonts w:ascii="Calibri" w:hAnsi="Calibri"/>
          <w:b w:val="0"/>
          <w:i w:val="0"/>
          <w:color w:val="111111"/>
          <w:sz w:val="22"/>
        </w:rPr>
        <w:t>Security engineer specializing in converged physical security and cybersecurity for critical facilities. His assumed work covers threat/risk assessment, security zoning, access control, CCTV, intrusion detection, SOC interfaces, network segmentation, secure cabling, hardening, identity management, logging, testing and incident-response requirements.</w:t>
      </w:r>
    </w:p>
    <w:p>
      <w:pPr>
        <w:pStyle w:val="Heading2"/>
        <w:keepNext/>
      </w:pPr>
      <w:r>
        <w:t>Education and credentials</w:t>
      </w:r>
    </w:p>
    <w:p>
      <w:pPr>
        <w:spacing w:before="0" w:after="100" w:line="300" w:lineRule="auto"/>
        <w:numPr>
          <w:ilvl w:val="0"/>
          <w:numId w:val="10"/>
        </w:numPr>
      </w:pPr>
      <w:r>
        <w:rPr>
          <w:rFonts w:ascii="Calibri" w:hAnsi="Calibri"/>
          <w:b w:val="0"/>
          <w:i w:val="0"/>
          <w:color w:val="111111"/>
          <w:sz w:val="22"/>
        </w:rPr>
        <w:t>MSc, Cybersecurity, fictional European university, 2015</w:t>
      </w:r>
    </w:p>
    <w:p>
      <w:pPr>
        <w:spacing w:before="0" w:after="100" w:line="300" w:lineRule="auto"/>
        <w:numPr>
          <w:ilvl w:val="0"/>
          <w:numId w:val="10"/>
        </w:numPr>
      </w:pPr>
      <w:r>
        <w:rPr>
          <w:rFonts w:ascii="Calibri" w:hAnsi="Calibri"/>
          <w:b w:val="0"/>
          <w:i w:val="0"/>
          <w:color w:val="111111"/>
          <w:sz w:val="22"/>
        </w:rPr>
        <w:t>BE, Computer and Communications Engineering, fictional Lebanese university, 2012</w:t>
      </w:r>
    </w:p>
    <w:p>
      <w:pPr>
        <w:spacing w:before="0" w:after="100" w:line="300" w:lineRule="auto"/>
        <w:numPr>
          <w:ilvl w:val="0"/>
          <w:numId w:val="10"/>
        </w:numPr>
      </w:pPr>
      <w:r>
        <w:rPr>
          <w:rFonts w:ascii="Calibri" w:hAnsi="Calibri"/>
          <w:b w:val="0"/>
          <w:i w:val="0"/>
          <w:color w:val="111111"/>
          <w:sz w:val="22"/>
        </w:rPr>
        <w:t>CISSP, assumed current</w:t>
      </w:r>
    </w:p>
    <w:p>
      <w:pPr>
        <w:spacing w:before="0" w:after="100" w:line="300" w:lineRule="auto"/>
        <w:numPr>
          <w:ilvl w:val="0"/>
          <w:numId w:val="10"/>
        </w:numPr>
      </w:pPr>
      <w:r>
        <w:rPr>
          <w:rFonts w:ascii="Calibri" w:hAnsi="Calibri"/>
          <w:b w:val="0"/>
          <w:i w:val="0"/>
          <w:color w:val="111111"/>
          <w:sz w:val="22"/>
        </w:rPr>
        <w:t>ASIS Physical Security Professional (PSP), assumed current</w:t>
      </w:r>
    </w:p>
    <w:p>
      <w:pPr>
        <w:spacing w:before="0" w:after="100" w:line="300" w:lineRule="auto"/>
        <w:numPr>
          <w:ilvl w:val="0"/>
          <w:numId w:val="10"/>
        </w:numPr>
      </w:pPr>
      <w:r>
        <w:rPr>
          <w:rFonts w:ascii="Calibri" w:hAnsi="Calibri"/>
          <w:b w:val="0"/>
          <w:i w:val="0"/>
          <w:color w:val="111111"/>
          <w:sz w:val="22"/>
        </w:rPr>
        <w:t>Training in ISO/IEC 27001, IEC 62443 and data-center security</w:t>
      </w:r>
    </w:p>
    <w:p>
      <w:pPr>
        <w:pStyle w:val="Heading2"/>
        <w:keepNext/>
      </w:pPr>
      <w:r>
        <w:t>TOR responsibilities</w:t>
      </w:r>
    </w:p>
    <w:p>
      <w:pPr>
        <w:spacing w:before="0" w:after="100" w:line="300" w:lineRule="auto"/>
        <w:numPr>
          <w:ilvl w:val="0"/>
          <w:numId w:val="10"/>
        </w:numPr>
      </w:pPr>
      <w:r>
        <w:rPr>
          <w:rFonts w:ascii="Calibri" w:hAnsi="Calibri"/>
          <w:b w:val="0"/>
          <w:i w:val="0"/>
          <w:color w:val="111111"/>
          <w:sz w:val="22"/>
        </w:rPr>
        <w:t>Lead threat, vulnerability and risk assessment and define the integrated security concept</w:t>
      </w:r>
    </w:p>
    <w:p>
      <w:pPr>
        <w:spacing w:before="0" w:after="100" w:line="300" w:lineRule="auto"/>
        <w:numPr>
          <w:ilvl w:val="0"/>
          <w:numId w:val="10"/>
        </w:numPr>
      </w:pPr>
      <w:r>
        <w:rPr>
          <w:rFonts w:ascii="Calibri" w:hAnsi="Calibri"/>
          <w:b w:val="0"/>
          <w:i w:val="0"/>
          <w:color w:val="111111"/>
          <w:sz w:val="22"/>
        </w:rPr>
        <w:t>Design physical security systems and cybersecurity architecture for facility ICT</w:t>
      </w:r>
    </w:p>
    <w:p>
      <w:pPr>
        <w:spacing w:before="0" w:after="100" w:line="300" w:lineRule="auto"/>
        <w:numPr>
          <w:ilvl w:val="0"/>
          <w:numId w:val="10"/>
        </w:numPr>
      </w:pPr>
      <w:r>
        <w:rPr>
          <w:rFonts w:ascii="Calibri" w:hAnsi="Calibri"/>
          <w:b w:val="0"/>
          <w:i w:val="0"/>
          <w:color w:val="111111"/>
          <w:sz w:val="22"/>
        </w:rPr>
        <w:t>Coordinate security zoning, ELV pathways, power/cooling and operational workflows</w:t>
      </w:r>
    </w:p>
    <w:p>
      <w:pPr>
        <w:spacing w:before="0" w:after="100" w:line="300" w:lineRule="auto"/>
        <w:numPr>
          <w:ilvl w:val="0"/>
          <w:numId w:val="10"/>
        </w:numPr>
      </w:pPr>
      <w:r>
        <w:rPr>
          <w:rFonts w:ascii="Calibri" w:hAnsi="Calibri"/>
          <w:b w:val="0"/>
          <w:i w:val="0"/>
          <w:color w:val="111111"/>
          <w:sz w:val="22"/>
        </w:rPr>
        <w:t>Prepare specifications, equipment schedules, BOQ inputs and acceptance tests</w:t>
      </w:r>
    </w:p>
    <w:p>
      <w:pPr>
        <w:spacing w:before="0" w:after="100" w:line="300" w:lineRule="auto"/>
        <w:numPr>
          <w:ilvl w:val="0"/>
          <w:numId w:val="10"/>
        </w:numPr>
      </w:pPr>
      <w:r>
        <w:rPr>
          <w:rFonts w:ascii="Calibri" w:hAnsi="Calibri"/>
          <w:b w:val="0"/>
          <w:i w:val="0"/>
          <w:color w:val="111111"/>
          <w:sz w:val="22"/>
        </w:rPr>
        <w:t>Witness factory/site tests, validate hardening and support secure handover documentation</w:t>
      </w:r>
    </w:p>
    <w:p>
      <w:pPr>
        <w:pStyle w:val="Heading2"/>
        <w:keepNext/>
      </w:pPr>
      <w:r>
        <w:t>Employment record</w:t>
      </w:r>
    </w:p>
    <w:tbl>
      <w:tblPr>
        <w:tblStyle w:val="TableGrid"/>
        <w:tblW w:type="dxa" w:w="9360"/>
        <w:jc w:val="left"/>
        <w:tblLayout w:type="fixed"/>
        <w:tblLook w:firstColumn="1" w:firstRow="1" w:lastColumn="0" w:lastRow="0" w:noHBand="0" w:noVBand="1" w:val="04A0"/>
        <w:tblInd w:w="120" w:type="dxa"/>
      </w:tblPr>
      <w:tblGrid>
        <w:gridCol w:w="1500"/>
        <w:gridCol w:w="3200"/>
        <w:gridCol w:w="4660"/>
      </w:tblGrid>
      <w:tr>
        <w:trPr>
          <w:tblHeader w:val="true"/>
          <w:cantSplit/>
        </w:trPr>
        <w:tc>
          <w:tcPr>
            <w:tcW w:type="dxa" w:w="1500"/>
            <w:shd w:fill="18324A"/>
            <w:tcMar>
              <w:top w:w="80" w:type="dxa"/>
              <w:start w:w="120" w:type="dxa"/>
              <w:bottom w:w="80" w:type="dxa"/>
              <w:end w:w="120" w:type="dxa"/>
            </w:tcMar>
            <w:vAlign w:val="center"/>
          </w:tcPr>
          <w:p>
            <w:pPr>
              <w:spacing w:after="0"/>
              <w:jc w:val="center"/>
            </w:pPr>
            <w:r>
              <w:rPr>
                <w:rFonts w:ascii="Calibri" w:hAnsi="Calibri"/>
                <w:b/>
                <w:i w:val="0"/>
                <w:color w:val="FFFFFF"/>
                <w:sz w:val="17"/>
              </w:rPr>
              <w:t>Period</w:t>
            </w:r>
          </w:p>
        </w:tc>
        <w:tc>
          <w:tcPr>
            <w:tcW w:type="dxa" w:w="3200"/>
            <w:shd w:fill="18324A"/>
            <w:tcMar>
              <w:top w:w="80" w:type="dxa"/>
              <w:start w:w="120" w:type="dxa"/>
              <w:bottom w:w="80" w:type="dxa"/>
              <w:end w:w="120" w:type="dxa"/>
            </w:tcMar>
            <w:vAlign w:val="center"/>
          </w:tcPr>
          <w:p>
            <w:pPr>
              <w:spacing w:after="0"/>
              <w:jc w:val="center"/>
            </w:pPr>
            <w:r>
              <w:rPr>
                <w:rFonts w:ascii="Calibri" w:hAnsi="Calibri"/>
                <w:b/>
                <w:i w:val="0"/>
                <w:color w:val="FFFFFF"/>
                <w:sz w:val="17"/>
              </w:rPr>
              <w:t>Organization / position</w:t>
            </w:r>
          </w:p>
        </w:tc>
        <w:tc>
          <w:tcPr>
            <w:tcW w:type="dxa" w:w="4660"/>
            <w:shd w:fill="18324A"/>
            <w:tcMar>
              <w:top w:w="80" w:type="dxa"/>
              <w:start w:w="120" w:type="dxa"/>
              <w:bottom w:w="80" w:type="dxa"/>
              <w:end w:w="120" w:type="dxa"/>
            </w:tcMar>
            <w:vAlign w:val="center"/>
          </w:tcPr>
          <w:p>
            <w:pPr>
              <w:spacing w:after="0"/>
              <w:jc w:val="center"/>
            </w:pPr>
            <w:r>
              <w:rPr>
                <w:rFonts w:ascii="Calibri" w:hAnsi="Calibri"/>
                <w:b/>
                <w:i w:val="0"/>
                <w:color w:val="FFFFFF"/>
                <w:sz w:val="17"/>
              </w:rPr>
              <w:t>Selected responsibility</w:t>
            </w:r>
          </w:p>
        </w:tc>
      </w:tr>
      <w:tr>
        <w:trPr>
          <w:cantSplit/>
        </w:trPr>
        <w:tc>
          <w:tcPr>
            <w:tcW w:type="dxa" w:w="1500"/>
            <w:tcMar>
              <w:top w:w="80" w:type="dxa"/>
              <w:start w:w="120" w:type="dxa"/>
              <w:bottom w:w="80" w:type="dxa"/>
              <w:end w:w="120" w:type="dxa"/>
            </w:tcMar>
            <w:vAlign w:val="center"/>
          </w:tcPr>
          <w:p>
            <w:pPr>
              <w:spacing w:after="0" w:line="252" w:lineRule="auto"/>
            </w:pPr>
            <w:r>
              <w:rPr>
                <w:rFonts w:ascii="Calibri" w:hAnsi="Calibri"/>
                <w:b w:val="0"/>
                <w:i w:val="0"/>
                <w:color w:val="111111"/>
                <w:sz w:val="17"/>
              </w:rPr>
              <w:t>2019-present</w:t>
            </w:r>
          </w:p>
        </w:tc>
        <w:tc>
          <w:tcPr>
            <w:tcW w:type="dxa" w:w="3200"/>
            <w:tcMar>
              <w:top w:w="80" w:type="dxa"/>
              <w:start w:w="120" w:type="dxa"/>
              <w:bottom w:w="80" w:type="dxa"/>
              <w:end w:w="120" w:type="dxa"/>
            </w:tcMar>
            <w:vAlign w:val="center"/>
          </w:tcPr>
          <w:p>
            <w:pPr>
              <w:spacing w:after="0" w:line="252" w:lineRule="auto"/>
            </w:pPr>
            <w:r>
              <w:rPr>
                <w:rFonts w:ascii="Calibri" w:hAnsi="Calibri"/>
                <w:b w:val="0"/>
                <w:i w:val="0"/>
                <w:color w:val="111111"/>
                <w:sz w:val="17"/>
              </w:rPr>
              <w:t>Cedars Integrated Consulting - Security Lead</w:t>
            </w:r>
          </w:p>
        </w:tc>
        <w:tc>
          <w:tcPr>
            <w:tcW w:type="dxa" w:w="4660"/>
            <w:tcMar>
              <w:top w:w="80" w:type="dxa"/>
              <w:start w:w="120" w:type="dxa"/>
              <w:bottom w:w="80" w:type="dxa"/>
              <w:end w:w="120" w:type="dxa"/>
            </w:tcMar>
            <w:vAlign w:val="center"/>
          </w:tcPr>
          <w:p>
            <w:pPr>
              <w:spacing w:after="0" w:line="252" w:lineRule="auto"/>
            </w:pPr>
            <w:r>
              <w:rPr>
                <w:rFonts w:ascii="Calibri" w:hAnsi="Calibri"/>
                <w:b w:val="0"/>
                <w:i w:val="0"/>
                <w:color w:val="111111"/>
                <w:sz w:val="17"/>
              </w:rPr>
              <w:t>Converged security for mission-critical facilities</w:t>
            </w:r>
          </w:p>
        </w:tc>
      </w:tr>
      <w:tr>
        <w:trPr>
          <w:cantSplit/>
        </w:trPr>
        <w:tc>
          <w:tcPr>
            <w:tcW w:type="dxa" w:w="15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7"/>
              </w:rPr>
              <w:t>2015-2019</w:t>
            </w:r>
          </w:p>
        </w:tc>
        <w:tc>
          <w:tcPr>
            <w:tcW w:type="dxa" w:w="32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7"/>
              </w:rPr>
              <w:t>Fictional SecureGrid Systems - Senior Security Consultant</w:t>
            </w:r>
          </w:p>
        </w:tc>
        <w:tc>
          <w:tcPr>
            <w:tcW w:type="dxa" w:w="46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7"/>
              </w:rPr>
              <w:t>Critical infrastructure assessments and designs</w:t>
            </w:r>
          </w:p>
        </w:tc>
      </w:tr>
      <w:tr>
        <w:trPr>
          <w:cantSplit/>
        </w:trPr>
        <w:tc>
          <w:tcPr>
            <w:tcW w:type="dxa" w:w="1500"/>
            <w:tcMar>
              <w:top w:w="80" w:type="dxa"/>
              <w:start w:w="120" w:type="dxa"/>
              <w:bottom w:w="80" w:type="dxa"/>
              <w:end w:w="120" w:type="dxa"/>
            </w:tcMar>
            <w:vAlign w:val="center"/>
          </w:tcPr>
          <w:p>
            <w:pPr>
              <w:spacing w:after="0" w:line="252" w:lineRule="auto"/>
            </w:pPr>
            <w:r>
              <w:rPr>
                <w:rFonts w:ascii="Calibri" w:hAnsi="Calibri"/>
                <w:b w:val="0"/>
                <w:i w:val="0"/>
                <w:color w:val="111111"/>
                <w:sz w:val="17"/>
              </w:rPr>
              <w:t>2012-2015</w:t>
            </w:r>
          </w:p>
        </w:tc>
        <w:tc>
          <w:tcPr>
            <w:tcW w:type="dxa" w:w="3200"/>
            <w:tcMar>
              <w:top w:w="80" w:type="dxa"/>
              <w:start w:w="120" w:type="dxa"/>
              <w:bottom w:w="80" w:type="dxa"/>
              <w:end w:w="120" w:type="dxa"/>
            </w:tcMar>
            <w:vAlign w:val="center"/>
          </w:tcPr>
          <w:p>
            <w:pPr>
              <w:spacing w:after="0" w:line="252" w:lineRule="auto"/>
            </w:pPr>
            <w:r>
              <w:rPr>
                <w:rFonts w:ascii="Calibri" w:hAnsi="Calibri"/>
                <w:b w:val="0"/>
                <w:i w:val="0"/>
                <w:color w:val="111111"/>
                <w:sz w:val="17"/>
              </w:rPr>
              <w:t>Fictional NetShield Engineering - Systems Engineer</w:t>
            </w:r>
          </w:p>
        </w:tc>
        <w:tc>
          <w:tcPr>
            <w:tcW w:type="dxa" w:w="4660"/>
            <w:tcMar>
              <w:top w:w="80" w:type="dxa"/>
              <w:start w:w="120" w:type="dxa"/>
              <w:bottom w:w="80" w:type="dxa"/>
              <w:end w:w="120" w:type="dxa"/>
            </w:tcMar>
            <w:vAlign w:val="center"/>
          </w:tcPr>
          <w:p>
            <w:pPr>
              <w:spacing w:after="0" w:line="252" w:lineRule="auto"/>
            </w:pPr>
            <w:r>
              <w:rPr>
                <w:rFonts w:ascii="Calibri" w:hAnsi="Calibri"/>
                <w:b w:val="0"/>
                <w:i w:val="0"/>
                <w:color w:val="111111"/>
                <w:sz w:val="17"/>
              </w:rPr>
              <w:t>Networks, access control and surveillance integration</w:t>
            </w:r>
          </w:p>
        </w:tc>
      </w:tr>
    </w:tbl>
    <w:p>
      <w:pPr>
        <w:spacing w:before="0" w:after="40" w:line="300" w:lineRule="auto"/>
      </w:pPr>
    </w:p>
    <w:p>
      <w:pPr>
        <w:pStyle w:val="Heading2"/>
        <w:keepNext/>
      </w:pPr>
      <w:r>
        <w:t>Most relevant assignments</w:t>
      </w:r>
    </w:p>
    <w:tbl>
      <w:tblPr>
        <w:tblStyle w:val="TableGrid"/>
        <w:tblW w:type="dxa" w:w="9360"/>
        <w:jc w:val="left"/>
        <w:tblLayout w:type="fixed"/>
        <w:tblLook w:firstColumn="1" w:firstRow="1" w:lastColumn="0" w:lastRow="0" w:noHBand="0" w:noVBand="1" w:val="04A0"/>
        <w:tblInd w:w="120" w:type="dxa"/>
      </w:tblPr>
      <w:tblGrid>
        <w:gridCol w:w="1500"/>
        <w:gridCol w:w="3300"/>
        <w:gridCol w:w="4560"/>
      </w:tblGrid>
      <w:tr>
        <w:trPr>
          <w:tblHeader w:val="true"/>
          <w:cantSplit/>
        </w:trPr>
        <w:tc>
          <w:tcPr>
            <w:tcW w:type="dxa" w:w="1500"/>
            <w:shd w:fill="18324A"/>
            <w:tcMar>
              <w:top w:w="80" w:type="dxa"/>
              <w:start w:w="120" w:type="dxa"/>
              <w:bottom w:w="80" w:type="dxa"/>
              <w:end w:w="120" w:type="dxa"/>
            </w:tcMar>
            <w:vAlign w:val="center"/>
          </w:tcPr>
          <w:p>
            <w:pPr>
              <w:spacing w:after="0"/>
              <w:jc w:val="center"/>
            </w:pPr>
            <w:r>
              <w:rPr>
                <w:rFonts w:ascii="Calibri" w:hAnsi="Calibri"/>
                <w:b/>
                <w:i w:val="0"/>
                <w:color w:val="FFFFFF"/>
                <w:sz w:val="16"/>
              </w:rPr>
              <w:t>Year / location</w:t>
            </w:r>
          </w:p>
        </w:tc>
        <w:tc>
          <w:tcPr>
            <w:tcW w:type="dxa" w:w="3300"/>
            <w:shd w:fill="18324A"/>
            <w:tcMar>
              <w:top w:w="80" w:type="dxa"/>
              <w:start w:w="120" w:type="dxa"/>
              <w:bottom w:w="80" w:type="dxa"/>
              <w:end w:w="120" w:type="dxa"/>
            </w:tcMar>
            <w:vAlign w:val="center"/>
          </w:tcPr>
          <w:p>
            <w:pPr>
              <w:spacing w:after="0"/>
              <w:jc w:val="center"/>
            </w:pPr>
            <w:r>
              <w:rPr>
                <w:rFonts w:ascii="Calibri" w:hAnsi="Calibri"/>
                <w:b/>
                <w:i w:val="0"/>
                <w:color w:val="FFFFFF"/>
                <w:sz w:val="16"/>
              </w:rPr>
              <w:t>Fictional assignment and client</w:t>
            </w:r>
          </w:p>
        </w:tc>
        <w:tc>
          <w:tcPr>
            <w:tcW w:type="dxa" w:w="4560"/>
            <w:shd w:fill="18324A"/>
            <w:tcMar>
              <w:top w:w="80" w:type="dxa"/>
              <w:start w:w="120" w:type="dxa"/>
              <w:bottom w:w="80" w:type="dxa"/>
              <w:end w:w="120" w:type="dxa"/>
            </w:tcMar>
            <w:vAlign w:val="center"/>
          </w:tcPr>
          <w:p>
            <w:pPr>
              <w:spacing w:after="0"/>
              <w:jc w:val="center"/>
            </w:pPr>
            <w:r>
              <w:rPr>
                <w:rFonts w:ascii="Calibri" w:hAnsi="Calibri"/>
                <w:b/>
                <w:i w:val="0"/>
                <w:color w:val="FFFFFF"/>
                <w:sz w:val="16"/>
              </w:rPr>
              <w:t>Role and relevance</w:t>
            </w:r>
          </w:p>
        </w:tc>
      </w:tr>
      <w:tr>
        <w:trPr>
          <w:cantSplit/>
        </w:trPr>
        <w:tc>
          <w:tcPr>
            <w:tcW w:type="dxa" w:w="1500"/>
            <w:tcMar>
              <w:top w:w="80" w:type="dxa"/>
              <w:start w:w="120" w:type="dxa"/>
              <w:bottom w:w="80" w:type="dxa"/>
              <w:end w:w="120" w:type="dxa"/>
            </w:tcMar>
            <w:vAlign w:val="center"/>
          </w:tcPr>
          <w:p>
            <w:pPr>
              <w:spacing w:after="0" w:line="252" w:lineRule="auto"/>
            </w:pPr>
            <w:r>
              <w:rPr>
                <w:rFonts w:ascii="Calibri" w:hAnsi="Calibri"/>
                <w:b w:val="0"/>
                <w:i w:val="0"/>
                <w:color w:val="111111"/>
                <w:sz w:val="16"/>
              </w:rPr>
              <w:t>2022-2025 / Cyprus</w:t>
            </w:r>
          </w:p>
        </w:tc>
        <w:tc>
          <w:tcPr>
            <w:tcW w:type="dxa" w:w="3300"/>
            <w:tcMar>
              <w:top w:w="80" w:type="dxa"/>
              <w:start w:w="120" w:type="dxa"/>
              <w:bottom w:w="80" w:type="dxa"/>
              <w:end w:w="120" w:type="dxa"/>
            </w:tcMar>
            <w:vAlign w:val="center"/>
          </w:tcPr>
          <w:p>
            <w:pPr>
              <w:spacing w:after="0" w:line="252" w:lineRule="auto"/>
            </w:pPr>
            <w:r>
              <w:rPr>
                <w:rFonts w:ascii="Calibri" w:hAnsi="Calibri"/>
                <w:b w:val="0"/>
                <w:i w:val="0"/>
                <w:color w:val="111111"/>
                <w:sz w:val="16"/>
              </w:rPr>
              <w:t>Eastern Mediterranean Clearing House Operations Centre</w:t>
            </w:r>
          </w:p>
        </w:tc>
        <w:tc>
          <w:tcPr>
            <w:tcW w:type="dxa" w:w="4560"/>
            <w:tcMar>
              <w:top w:w="80" w:type="dxa"/>
              <w:start w:w="120" w:type="dxa"/>
              <w:bottom w:w="80" w:type="dxa"/>
              <w:end w:w="120" w:type="dxa"/>
            </w:tcMar>
            <w:vAlign w:val="center"/>
          </w:tcPr>
          <w:p>
            <w:pPr>
              <w:spacing w:after="0" w:line="252" w:lineRule="auto"/>
            </w:pPr>
            <w:r>
              <w:rPr>
                <w:rFonts w:ascii="Calibri" w:hAnsi="Calibri"/>
                <w:b w:val="0"/>
                <w:i w:val="0"/>
                <w:color w:val="111111"/>
                <w:sz w:val="16"/>
              </w:rPr>
              <w:t>Security lead; converged physical/cyber design and acceptance</w:t>
            </w:r>
          </w:p>
        </w:tc>
      </w:tr>
      <w:tr>
        <w:trPr>
          <w:cantSplit/>
        </w:trPr>
        <w:tc>
          <w:tcPr>
            <w:tcW w:type="dxa" w:w="15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2019-2023 / Jordan</w:t>
            </w:r>
          </w:p>
        </w:tc>
        <w:tc>
          <w:tcPr>
            <w:tcW w:type="dxa" w:w="33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National Digital Services Campus</w:t>
            </w:r>
          </w:p>
        </w:tc>
        <w:tc>
          <w:tcPr>
            <w:tcW w:type="dxa" w:w="45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Security architect; segmented networks, SOC and access control</w:t>
            </w:r>
          </w:p>
        </w:tc>
      </w:tr>
      <w:tr>
        <w:trPr>
          <w:cantSplit/>
        </w:trPr>
        <w:tc>
          <w:tcPr>
            <w:tcW w:type="dxa" w:w="1500"/>
            <w:tcMar>
              <w:top w:w="80" w:type="dxa"/>
              <w:start w:w="120" w:type="dxa"/>
              <w:bottom w:w="80" w:type="dxa"/>
              <w:end w:w="120" w:type="dxa"/>
            </w:tcMar>
            <w:vAlign w:val="center"/>
          </w:tcPr>
          <w:p>
            <w:pPr>
              <w:spacing w:after="0" w:line="252" w:lineRule="auto"/>
            </w:pPr>
            <w:r>
              <w:rPr>
                <w:rFonts w:ascii="Calibri" w:hAnsi="Calibri"/>
                <w:b w:val="0"/>
                <w:i w:val="0"/>
                <w:color w:val="111111"/>
                <w:sz w:val="16"/>
              </w:rPr>
              <w:t>2018-2021 / Lebanon</w:t>
            </w:r>
          </w:p>
        </w:tc>
        <w:tc>
          <w:tcPr>
            <w:tcW w:type="dxa" w:w="3300"/>
            <w:tcMar>
              <w:top w:w="80" w:type="dxa"/>
              <w:start w:w="120" w:type="dxa"/>
              <w:bottom w:w="80" w:type="dxa"/>
              <w:end w:w="120" w:type="dxa"/>
            </w:tcMar>
            <w:vAlign w:val="center"/>
          </w:tcPr>
          <w:p>
            <w:pPr>
              <w:spacing w:after="0" w:line="252" w:lineRule="auto"/>
            </w:pPr>
            <w:r>
              <w:rPr>
                <w:rFonts w:ascii="Calibri" w:hAnsi="Calibri"/>
                <w:b w:val="0"/>
                <w:i w:val="0"/>
                <w:color w:val="111111"/>
                <w:sz w:val="16"/>
              </w:rPr>
              <w:t>Banque du Levant Resilience Centre</w:t>
            </w:r>
          </w:p>
        </w:tc>
        <w:tc>
          <w:tcPr>
            <w:tcW w:type="dxa" w:w="4560"/>
            <w:tcMar>
              <w:top w:w="80" w:type="dxa"/>
              <w:start w:w="120" w:type="dxa"/>
              <w:bottom w:w="80" w:type="dxa"/>
              <w:end w:w="120" w:type="dxa"/>
            </w:tcMar>
            <w:vAlign w:val="center"/>
          </w:tcPr>
          <w:p>
            <w:pPr>
              <w:spacing w:after="0" w:line="252" w:lineRule="auto"/>
            </w:pPr>
            <w:r>
              <w:rPr>
                <w:rFonts w:ascii="Calibri" w:hAnsi="Calibri"/>
                <w:b w:val="0"/>
                <w:i w:val="0"/>
                <w:color w:val="111111"/>
                <w:sz w:val="16"/>
              </w:rPr>
              <w:t>Security specialist; threat assessment and secure commissioning</w:t>
            </w:r>
          </w:p>
        </w:tc>
      </w:tr>
      <w:tr>
        <w:trPr>
          <w:cantSplit/>
        </w:trPr>
        <w:tc>
          <w:tcPr>
            <w:tcW w:type="dxa" w:w="15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2021-2024 / Ghana</w:t>
            </w:r>
          </w:p>
        </w:tc>
        <w:tc>
          <w:tcPr>
            <w:tcW w:type="dxa" w:w="33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West Africa Revenue Authority Headquarters</w:t>
            </w:r>
          </w:p>
        </w:tc>
        <w:tc>
          <w:tcPr>
            <w:tcW w:type="dxa" w:w="45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Security reviewer; surveillance, access and ICT integration</w:t>
            </w:r>
          </w:p>
        </w:tc>
      </w:tr>
    </w:tbl>
    <w:p>
      <w:pPr>
        <w:spacing w:before="0" w:after="40" w:line="300" w:lineRule="auto"/>
      </w:pPr>
    </w:p>
    <w:p>
      <w:pPr>
        <w:pStyle w:val="Heading2"/>
        <w:keepNext/>
      </w:pPr>
      <w:r>
        <w:t>Evidence to attach before a real submission</w:t>
      </w:r>
    </w:p>
    <w:p>
      <w:pPr>
        <w:spacing w:before="0" w:after="100" w:line="300" w:lineRule="auto"/>
        <w:numPr>
          <w:ilvl w:val="0"/>
          <w:numId w:val="10"/>
        </w:numPr>
      </w:pPr>
      <w:r>
        <w:rPr>
          <w:rFonts w:ascii="Calibri" w:hAnsi="Calibri"/>
          <w:b w:val="0"/>
          <w:i w:val="0"/>
          <w:color w:val="111111"/>
          <w:sz w:val="22"/>
        </w:rPr>
        <w:t>Degrees and current CISSP/PSP verification</w:t>
      </w:r>
    </w:p>
    <w:p>
      <w:pPr>
        <w:spacing w:before="0" w:after="100" w:line="300" w:lineRule="auto"/>
        <w:numPr>
          <w:ilvl w:val="0"/>
          <w:numId w:val="10"/>
        </w:numPr>
      </w:pPr>
      <w:r>
        <w:rPr>
          <w:rFonts w:ascii="Calibri" w:hAnsi="Calibri"/>
          <w:b w:val="0"/>
          <w:i w:val="0"/>
          <w:color w:val="111111"/>
          <w:sz w:val="22"/>
        </w:rPr>
        <w:t>Employer-certified personal role on critical-infrastructure projects</w:t>
      </w:r>
    </w:p>
    <w:p>
      <w:pPr>
        <w:spacing w:before="0" w:after="100" w:line="300" w:lineRule="auto"/>
        <w:numPr>
          <w:ilvl w:val="0"/>
          <w:numId w:val="10"/>
        </w:numPr>
      </w:pPr>
      <w:r>
        <w:rPr>
          <w:rFonts w:ascii="Calibri" w:hAnsi="Calibri"/>
          <w:b w:val="0"/>
          <w:i w:val="0"/>
          <w:color w:val="111111"/>
          <w:sz w:val="22"/>
        </w:rPr>
        <w:t>Client references and security-clearance readiness if requested</w:t>
      </w:r>
    </w:p>
    <w:p>
      <w:pPr>
        <w:spacing w:before="0" w:after="100" w:line="300" w:lineRule="auto"/>
        <w:numPr>
          <w:ilvl w:val="0"/>
          <w:numId w:val="10"/>
        </w:numPr>
      </w:pPr>
      <w:r>
        <w:rPr>
          <w:rFonts w:ascii="Calibri" w:hAnsi="Calibri"/>
          <w:b w:val="0"/>
          <w:i w:val="0"/>
          <w:color w:val="111111"/>
          <w:sz w:val="22"/>
        </w:rPr>
        <w:t>Redacted design/testing evidence that does not expose sensitive details</w:t>
      </w:r>
    </w:p>
    <w:p>
      <w:pPr>
        <w:spacing w:before="0" w:after="100" w:line="300" w:lineRule="auto"/>
        <w:numPr>
          <w:ilvl w:val="0"/>
          <w:numId w:val="10"/>
        </w:numPr>
      </w:pPr>
      <w:r>
        <w:rPr>
          <w:rFonts w:ascii="Calibri" w:hAnsi="Calibri"/>
          <w:b w:val="0"/>
          <w:i w:val="0"/>
          <w:color w:val="111111"/>
          <w:sz w:val="22"/>
        </w:rPr>
        <w:t>Signed confidentiality, independence, CV and availability declarations</w:t>
      </w:r>
    </w:p>
    <w:tbl>
      <w:tblPr>
        <w:tblW w:type="dxa" w:w="9360"/>
        <w:jc w:val="left"/>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vAlign w:val="center"/>
            <w:shd w:fill="FFF7E6"/>
          </w:tcPr>
          <w:p>
            <w:pPr>
              <w:spacing w:after="40"/>
            </w:pPr>
            <w:r>
              <w:rPr>
                <w:rFonts w:ascii="Calibri" w:hAnsi="Calibri"/>
                <w:b/>
                <w:i w:val="0"/>
                <w:color w:val="B58220"/>
                <w:sz w:val="22"/>
              </w:rPr>
              <w:t xml:space="preserve">CV declaration: </w:t>
            </w:r>
            <w:r>
              <w:rPr>
                <w:rFonts w:ascii="Calibri" w:hAnsi="Calibri"/>
                <w:b w:val="0"/>
                <w:i w:val="0"/>
                <w:color w:val="111111"/>
                <w:sz w:val="22"/>
              </w:rPr>
              <w:t>This teaching CV is fictional. In a real bid, the expert must review and sign a truthful CV; the bidder must verify degrees, registrations, certifications, employment, availability, and project references.</w:t>
            </w:r>
          </w:p>
        </w:tc>
      </w:tr>
    </w:tbl>
    <w:p>
      <w:pPr>
        <w:spacing w:before="0" w:after="40" w:line="300" w:lineRule="auto"/>
      </w:pPr>
    </w:p>
    <w:p>
      <w:r>
        <w:br w:type="page"/>
      </w:r>
    </w:p>
    <w:p>
      <w:pPr>
        <w:pStyle w:val="Heading1"/>
        <w:keepNext/>
      </w:pPr>
      <w:r>
        <w:t>5. Non-key support profiles that should be added</w:t>
      </w:r>
    </w:p>
    <w:p>
      <w:pPr>
        <w:spacing w:before="0" w:after="120" w:line="300" w:lineRule="auto"/>
      </w:pPr>
      <w:r>
        <w:rPr>
          <w:rFonts w:ascii="Calibri" w:hAnsi="Calibri"/>
          <w:b w:val="0"/>
          <w:i w:val="0"/>
          <w:color w:val="111111"/>
          <w:sz w:val="22"/>
        </w:rPr>
        <w:t>These roles close scope gaps. They need not displace the seven evaluated key experts, but their short CVs, inputs and person-months should appear in the technical and financial proposals.</w:t>
      </w:r>
    </w:p>
    <w:tbl>
      <w:tblPr>
        <w:tblStyle w:val="TableGrid"/>
        <w:tblW w:type="dxa" w:w="9360"/>
        <w:jc w:val="left"/>
        <w:tblLayout w:type="fixed"/>
        <w:tblLook w:firstColumn="1" w:firstRow="1" w:lastColumn="0" w:lastRow="0" w:noHBand="0" w:noVBand="1" w:val="04A0"/>
        <w:tblInd w:w="120" w:type="dxa"/>
      </w:tblPr>
      <w:tblGrid>
        <w:gridCol w:w="2200"/>
        <w:gridCol w:w="2200"/>
        <w:gridCol w:w="2000"/>
        <w:gridCol w:w="2960"/>
      </w:tblGrid>
      <w:tr>
        <w:trPr>
          <w:tblHeader w:val="true"/>
          <w:cantSplit/>
        </w:trPr>
        <w:tc>
          <w:tcPr>
            <w:tcW w:type="dxa" w:w="2200"/>
            <w:shd w:fill="18324A"/>
            <w:tcMar>
              <w:top w:w="80" w:type="dxa"/>
              <w:start w:w="120" w:type="dxa"/>
              <w:bottom w:w="80" w:type="dxa"/>
              <w:end w:w="120" w:type="dxa"/>
            </w:tcMar>
            <w:vAlign w:val="center"/>
          </w:tcPr>
          <w:p>
            <w:pPr>
              <w:spacing w:after="0"/>
              <w:jc w:val="center"/>
            </w:pPr>
            <w:r>
              <w:rPr>
                <w:rFonts w:ascii="Calibri" w:hAnsi="Calibri"/>
                <w:b/>
                <w:i w:val="0"/>
                <w:color w:val="FFFFFF"/>
                <w:sz w:val="16"/>
              </w:rPr>
              <w:t>Support role</w:t>
            </w:r>
          </w:p>
        </w:tc>
        <w:tc>
          <w:tcPr>
            <w:tcW w:type="dxa" w:w="2200"/>
            <w:shd w:fill="18324A"/>
            <w:tcMar>
              <w:top w:w="80" w:type="dxa"/>
              <w:start w:w="120" w:type="dxa"/>
              <w:bottom w:w="80" w:type="dxa"/>
              <w:end w:w="120" w:type="dxa"/>
            </w:tcMar>
            <w:vAlign w:val="center"/>
          </w:tcPr>
          <w:p>
            <w:pPr>
              <w:spacing w:after="0"/>
              <w:jc w:val="center"/>
            </w:pPr>
            <w:r>
              <w:rPr>
                <w:rFonts w:ascii="Calibri" w:hAnsi="Calibri"/>
                <w:b/>
                <w:i w:val="0"/>
                <w:color w:val="FFFFFF"/>
                <w:sz w:val="16"/>
              </w:rPr>
              <w:t>Fictional profile</w:t>
            </w:r>
          </w:p>
        </w:tc>
        <w:tc>
          <w:tcPr>
            <w:tcW w:type="dxa" w:w="2000"/>
            <w:shd w:fill="18324A"/>
            <w:tcMar>
              <w:top w:w="80" w:type="dxa"/>
              <w:start w:w="120" w:type="dxa"/>
              <w:bottom w:w="80" w:type="dxa"/>
              <w:end w:w="120" w:type="dxa"/>
            </w:tcMar>
            <w:vAlign w:val="center"/>
          </w:tcPr>
          <w:p>
            <w:pPr>
              <w:spacing w:after="0"/>
              <w:jc w:val="center"/>
            </w:pPr>
            <w:r>
              <w:rPr>
                <w:rFonts w:ascii="Calibri" w:hAnsi="Calibri"/>
                <w:b/>
                <w:i w:val="0"/>
                <w:color w:val="FFFFFF"/>
                <w:sz w:val="16"/>
              </w:rPr>
              <w:t>Indicative credential</w:t>
            </w:r>
          </w:p>
        </w:tc>
        <w:tc>
          <w:tcPr>
            <w:tcW w:type="dxa" w:w="2960"/>
            <w:shd w:fill="18324A"/>
            <w:tcMar>
              <w:top w:w="80" w:type="dxa"/>
              <w:start w:w="120" w:type="dxa"/>
              <w:bottom w:w="80" w:type="dxa"/>
              <w:end w:w="120" w:type="dxa"/>
            </w:tcMar>
            <w:vAlign w:val="center"/>
          </w:tcPr>
          <w:p>
            <w:pPr>
              <w:spacing w:after="0"/>
              <w:jc w:val="center"/>
            </w:pPr>
            <w:r>
              <w:rPr>
                <w:rFonts w:ascii="Calibri" w:hAnsi="Calibri"/>
                <w:b/>
                <w:i w:val="0"/>
                <w:color w:val="FFFFFF"/>
                <w:sz w:val="16"/>
              </w:rPr>
              <w:t>Main scope contribution</w:t>
            </w:r>
          </w:p>
        </w:tc>
      </w:tr>
      <w:tr>
        <w:trPr>
          <w:cantSplit/>
        </w:trPr>
        <w:tc>
          <w:tcPr>
            <w:tcW w:type="dxa" w:w="2200"/>
            <w:tcMar>
              <w:top w:w="80" w:type="dxa"/>
              <w:start w:w="120" w:type="dxa"/>
              <w:bottom w:w="80" w:type="dxa"/>
              <w:end w:w="120" w:type="dxa"/>
            </w:tcMar>
            <w:vAlign w:val="center"/>
          </w:tcPr>
          <w:p>
            <w:pPr>
              <w:spacing w:after="0" w:line="252" w:lineRule="auto"/>
            </w:pPr>
            <w:r>
              <w:rPr>
                <w:rFonts w:ascii="Calibri" w:hAnsi="Calibri"/>
                <w:b w:val="0"/>
                <w:i w:val="0"/>
                <w:color w:val="111111"/>
                <w:sz w:val="16"/>
              </w:rPr>
              <w:t>Quantity Surveyor / Cost Engineer</w:t>
            </w:r>
          </w:p>
        </w:tc>
        <w:tc>
          <w:tcPr>
            <w:tcW w:type="dxa" w:w="2200"/>
            <w:tcMar>
              <w:top w:w="80" w:type="dxa"/>
              <w:start w:w="120" w:type="dxa"/>
              <w:bottom w:w="80" w:type="dxa"/>
              <w:end w:w="120" w:type="dxa"/>
            </w:tcMar>
            <w:vAlign w:val="center"/>
          </w:tcPr>
          <w:p>
            <w:pPr>
              <w:spacing w:after="0" w:line="252" w:lineRule="auto"/>
            </w:pPr>
            <w:r>
              <w:rPr>
                <w:rFonts w:ascii="Calibri" w:hAnsi="Calibri"/>
                <w:b w:val="0"/>
                <w:i w:val="0"/>
                <w:color w:val="111111"/>
                <w:sz w:val="16"/>
              </w:rPr>
              <w:t>Layla Aoun - Lebanese - 13 years</w:t>
            </w:r>
          </w:p>
        </w:tc>
        <w:tc>
          <w:tcPr>
            <w:tcW w:type="dxa" w:w="2000"/>
            <w:tcMar>
              <w:top w:w="80" w:type="dxa"/>
              <w:start w:w="120" w:type="dxa"/>
              <w:bottom w:w="80" w:type="dxa"/>
              <w:end w:w="120" w:type="dxa"/>
            </w:tcMar>
            <w:vAlign w:val="center"/>
          </w:tcPr>
          <w:p>
            <w:pPr>
              <w:spacing w:after="0" w:line="252" w:lineRule="auto"/>
            </w:pPr>
            <w:r>
              <w:rPr>
                <w:rFonts w:ascii="Calibri" w:hAnsi="Calibri"/>
                <w:b w:val="0"/>
                <w:i w:val="0"/>
                <w:color w:val="111111"/>
                <w:sz w:val="16"/>
              </w:rPr>
              <w:t>BSc Quantity Surveying; MRICS (illustrative)</w:t>
            </w:r>
          </w:p>
        </w:tc>
        <w:tc>
          <w:tcPr>
            <w:tcW w:type="dxa" w:w="2960"/>
            <w:tcMar>
              <w:top w:w="80" w:type="dxa"/>
              <w:start w:w="120" w:type="dxa"/>
              <w:bottom w:w="80" w:type="dxa"/>
              <w:end w:w="120" w:type="dxa"/>
            </w:tcMar>
            <w:vAlign w:val="center"/>
          </w:tcPr>
          <w:p>
            <w:pPr>
              <w:spacing w:after="0" w:line="252" w:lineRule="auto"/>
            </w:pPr>
            <w:r>
              <w:rPr>
                <w:rFonts w:ascii="Calibri" w:hAnsi="Calibri"/>
                <w:b w:val="0"/>
                <w:i w:val="0"/>
                <w:color w:val="111111"/>
                <w:sz w:val="16"/>
              </w:rPr>
              <w:t>Estimates, BOQs, valuations, IPC checks, variations, final account and lifecycle cost</w:t>
            </w:r>
          </w:p>
        </w:tc>
      </w:tr>
      <w:tr>
        <w:trPr>
          <w:cantSplit/>
        </w:trPr>
        <w:tc>
          <w:tcPr>
            <w:tcW w:type="dxa" w:w="22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ICT / Data-Center Engineer</w:t>
            </w:r>
          </w:p>
        </w:tc>
        <w:tc>
          <w:tcPr>
            <w:tcW w:type="dxa" w:w="22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Daniel M. Johnson - Liberian - 11 years</w:t>
            </w:r>
          </w:p>
        </w:tc>
        <w:tc>
          <w:tcPr>
            <w:tcW w:type="dxa" w:w="20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BSc Telecom; CDCP (illustrative)</w:t>
            </w:r>
          </w:p>
        </w:tc>
        <w:tc>
          <w:tcPr>
            <w:tcW w:type="dxa" w:w="29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Network/data-center architecture, structured cabling, equipment schedules and commissioning</w:t>
            </w:r>
          </w:p>
        </w:tc>
      </w:tr>
      <w:tr>
        <w:trPr>
          <w:cantSplit/>
        </w:trPr>
        <w:tc>
          <w:tcPr>
            <w:tcW w:type="dxa" w:w="2200"/>
            <w:tcMar>
              <w:top w:w="80" w:type="dxa"/>
              <w:start w:w="120" w:type="dxa"/>
              <w:bottom w:w="80" w:type="dxa"/>
              <w:end w:w="120" w:type="dxa"/>
            </w:tcMar>
            <w:vAlign w:val="center"/>
          </w:tcPr>
          <w:p>
            <w:pPr>
              <w:spacing w:after="0" w:line="252" w:lineRule="auto"/>
            </w:pPr>
            <w:r>
              <w:rPr>
                <w:rFonts w:ascii="Calibri" w:hAnsi="Calibri"/>
                <w:b w:val="0"/>
                <w:i w:val="0"/>
                <w:color w:val="111111"/>
                <w:sz w:val="16"/>
              </w:rPr>
              <w:t>EHS Specialist</w:t>
            </w:r>
          </w:p>
        </w:tc>
        <w:tc>
          <w:tcPr>
            <w:tcW w:type="dxa" w:w="2200"/>
            <w:tcMar>
              <w:top w:w="80" w:type="dxa"/>
              <w:start w:w="120" w:type="dxa"/>
              <w:bottom w:w="80" w:type="dxa"/>
              <w:end w:w="120" w:type="dxa"/>
            </w:tcMar>
            <w:vAlign w:val="center"/>
          </w:tcPr>
          <w:p>
            <w:pPr>
              <w:spacing w:after="0" w:line="252" w:lineRule="auto"/>
            </w:pPr>
            <w:r>
              <w:rPr>
                <w:rFonts w:ascii="Calibri" w:hAnsi="Calibri"/>
                <w:b w:val="0"/>
                <w:i w:val="0"/>
                <w:color w:val="111111"/>
                <w:sz w:val="16"/>
              </w:rPr>
              <w:t>Hawa F. Kamara - Liberian - 10 years</w:t>
            </w:r>
          </w:p>
        </w:tc>
        <w:tc>
          <w:tcPr>
            <w:tcW w:type="dxa" w:w="2000"/>
            <w:tcMar>
              <w:top w:w="80" w:type="dxa"/>
              <w:start w:w="120" w:type="dxa"/>
              <w:bottom w:w="80" w:type="dxa"/>
              <w:end w:w="120" w:type="dxa"/>
            </w:tcMar>
            <w:vAlign w:val="center"/>
          </w:tcPr>
          <w:p>
            <w:pPr>
              <w:spacing w:after="0" w:line="252" w:lineRule="auto"/>
            </w:pPr>
            <w:r>
              <w:rPr>
                <w:rFonts w:ascii="Calibri" w:hAnsi="Calibri"/>
                <w:b w:val="0"/>
                <w:i w:val="0"/>
                <w:color w:val="111111"/>
                <w:sz w:val="16"/>
              </w:rPr>
              <w:t>BSc Environmental Science; NEBOSH IGC</w:t>
            </w:r>
          </w:p>
        </w:tc>
        <w:tc>
          <w:tcPr>
            <w:tcW w:type="dxa" w:w="2960"/>
            <w:tcMar>
              <w:top w:w="80" w:type="dxa"/>
              <w:start w:w="120" w:type="dxa"/>
              <w:bottom w:w="80" w:type="dxa"/>
              <w:end w:w="120" w:type="dxa"/>
            </w:tcMar>
            <w:vAlign w:val="center"/>
          </w:tcPr>
          <w:p>
            <w:pPr>
              <w:spacing w:after="0" w:line="252" w:lineRule="auto"/>
            </w:pPr>
            <w:r>
              <w:rPr>
                <w:rFonts w:ascii="Calibri" w:hAnsi="Calibri"/>
                <w:b w:val="0"/>
                <w:i w:val="0"/>
                <w:color w:val="111111"/>
                <w:sz w:val="16"/>
              </w:rPr>
              <w:t>EHS review, audits, incidents, corrective action and monthly reporting</w:t>
            </w:r>
          </w:p>
        </w:tc>
      </w:tr>
      <w:tr>
        <w:trPr>
          <w:cantSplit/>
        </w:trPr>
        <w:tc>
          <w:tcPr>
            <w:tcW w:type="dxa" w:w="22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Sustainability / Climate-Resilience Specialist</w:t>
            </w:r>
          </w:p>
        </w:tc>
        <w:tc>
          <w:tcPr>
            <w:tcW w:type="dxa" w:w="22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Dr. Tarek Mansour - Lebanese - 12 years</w:t>
            </w:r>
          </w:p>
        </w:tc>
        <w:tc>
          <w:tcPr>
            <w:tcW w:type="dxa" w:w="20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PhD Building Physics; LEED AP</w:t>
            </w:r>
          </w:p>
        </w:tc>
        <w:tc>
          <w:tcPr>
            <w:tcW w:type="dxa" w:w="29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Energy model, flood/heat resilience, quantified benefits and lifecycle analysis</w:t>
            </w:r>
          </w:p>
        </w:tc>
      </w:tr>
      <w:tr>
        <w:trPr>
          <w:cantSplit/>
        </w:trPr>
        <w:tc>
          <w:tcPr>
            <w:tcW w:type="dxa" w:w="2200"/>
            <w:tcMar>
              <w:top w:w="80" w:type="dxa"/>
              <w:start w:w="120" w:type="dxa"/>
              <w:bottom w:w="80" w:type="dxa"/>
              <w:end w:w="120" w:type="dxa"/>
            </w:tcMar>
            <w:vAlign w:val="center"/>
          </w:tcPr>
          <w:p>
            <w:pPr>
              <w:spacing w:after="0" w:line="252" w:lineRule="auto"/>
            </w:pPr>
            <w:r>
              <w:rPr>
                <w:rFonts w:ascii="Calibri" w:hAnsi="Calibri"/>
                <w:b w:val="0"/>
                <w:i w:val="0"/>
                <w:color w:val="111111"/>
                <w:sz w:val="16"/>
              </w:rPr>
              <w:t>Procurement &amp; Contract Specialist</w:t>
            </w:r>
          </w:p>
        </w:tc>
        <w:tc>
          <w:tcPr>
            <w:tcW w:type="dxa" w:w="2200"/>
            <w:tcMar>
              <w:top w:w="80" w:type="dxa"/>
              <w:start w:w="120" w:type="dxa"/>
              <w:bottom w:w="80" w:type="dxa"/>
              <w:end w:w="120" w:type="dxa"/>
            </w:tcMar>
            <w:vAlign w:val="center"/>
          </w:tcPr>
          <w:p>
            <w:pPr>
              <w:spacing w:after="0" w:line="252" w:lineRule="auto"/>
            </w:pPr>
            <w:r>
              <w:rPr>
                <w:rFonts w:ascii="Calibri" w:hAnsi="Calibri"/>
                <w:b w:val="0"/>
                <w:i w:val="0"/>
                <w:color w:val="111111"/>
                <w:sz w:val="16"/>
              </w:rPr>
              <w:t>Rita Chamoun - Lebanese - 16 years</w:t>
            </w:r>
          </w:p>
        </w:tc>
        <w:tc>
          <w:tcPr>
            <w:tcW w:type="dxa" w:w="2000"/>
            <w:tcMar>
              <w:top w:w="80" w:type="dxa"/>
              <w:start w:w="120" w:type="dxa"/>
              <w:bottom w:w="80" w:type="dxa"/>
              <w:end w:w="120" w:type="dxa"/>
            </w:tcMar>
            <w:vAlign w:val="center"/>
          </w:tcPr>
          <w:p>
            <w:pPr>
              <w:spacing w:after="0" w:line="252" w:lineRule="auto"/>
            </w:pPr>
            <w:r>
              <w:rPr>
                <w:rFonts w:ascii="Calibri" w:hAnsi="Calibri"/>
                <w:b w:val="0"/>
                <w:i w:val="0"/>
                <w:color w:val="111111"/>
                <w:sz w:val="16"/>
              </w:rPr>
              <w:t>LLM Construction Law; FIDIC practitioner</w:t>
            </w:r>
          </w:p>
        </w:tc>
        <w:tc>
          <w:tcPr>
            <w:tcW w:type="dxa" w:w="2960"/>
            <w:tcMar>
              <w:top w:w="80" w:type="dxa"/>
              <w:start w:w="120" w:type="dxa"/>
              <w:bottom w:w="80" w:type="dxa"/>
              <w:end w:w="120" w:type="dxa"/>
            </w:tcMar>
            <w:vAlign w:val="center"/>
          </w:tcPr>
          <w:p>
            <w:pPr>
              <w:spacing w:after="0" w:line="252" w:lineRule="auto"/>
            </w:pPr>
            <w:r>
              <w:rPr>
                <w:rFonts w:ascii="Calibri" w:hAnsi="Calibri"/>
                <w:b w:val="0"/>
                <w:i w:val="0"/>
                <w:color w:val="111111"/>
                <w:sz w:val="16"/>
              </w:rPr>
              <w:t>Tender package, clarifications, evaluation, negotiation, claims and change control</w:t>
            </w:r>
          </w:p>
        </w:tc>
      </w:tr>
      <w:tr>
        <w:trPr>
          <w:cantSplit/>
        </w:trPr>
        <w:tc>
          <w:tcPr>
            <w:tcW w:type="dxa" w:w="22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Project Controls Planner</w:t>
            </w:r>
          </w:p>
        </w:tc>
        <w:tc>
          <w:tcPr>
            <w:tcW w:type="dxa" w:w="22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Patrick S. Tamba - Liberian - 9 years</w:t>
            </w:r>
          </w:p>
        </w:tc>
        <w:tc>
          <w:tcPr>
            <w:tcW w:type="dxa" w:w="20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BSc Engineering; Primavera P6</w:t>
            </w:r>
          </w:p>
        </w:tc>
        <w:tc>
          <w:tcPr>
            <w:tcW w:type="dxa" w:w="29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Baseline/CPM, progress measurement, critical path and schedule reporting</w:t>
            </w:r>
          </w:p>
        </w:tc>
      </w:tr>
      <w:tr>
        <w:trPr>
          <w:cantSplit/>
        </w:trPr>
        <w:tc>
          <w:tcPr>
            <w:tcW w:type="dxa" w:w="2200"/>
            <w:tcMar>
              <w:top w:w="80" w:type="dxa"/>
              <w:start w:w="120" w:type="dxa"/>
              <w:bottom w:w="80" w:type="dxa"/>
              <w:end w:w="120" w:type="dxa"/>
            </w:tcMar>
            <w:vAlign w:val="center"/>
          </w:tcPr>
          <w:p>
            <w:pPr>
              <w:spacing w:after="0" w:line="252" w:lineRule="auto"/>
            </w:pPr>
            <w:r>
              <w:rPr>
                <w:rFonts w:ascii="Calibri" w:hAnsi="Calibri"/>
                <w:b w:val="0"/>
                <w:i w:val="0"/>
                <w:color w:val="111111"/>
                <w:sz w:val="16"/>
              </w:rPr>
              <w:t>Commissioning Authority</w:t>
            </w:r>
          </w:p>
        </w:tc>
        <w:tc>
          <w:tcPr>
            <w:tcW w:type="dxa" w:w="2200"/>
            <w:tcMar>
              <w:top w:w="80" w:type="dxa"/>
              <w:start w:w="120" w:type="dxa"/>
              <w:bottom w:w="80" w:type="dxa"/>
              <w:end w:w="120" w:type="dxa"/>
            </w:tcMar>
            <w:vAlign w:val="center"/>
          </w:tcPr>
          <w:p>
            <w:pPr>
              <w:spacing w:after="0" w:line="252" w:lineRule="auto"/>
            </w:pPr>
            <w:r>
              <w:rPr>
                <w:rFonts w:ascii="Calibri" w:hAnsi="Calibri"/>
                <w:b w:val="0"/>
                <w:i w:val="0"/>
                <w:color w:val="111111"/>
                <w:sz w:val="16"/>
              </w:rPr>
              <w:t>Omar Daher - Lebanese - 15 years</w:t>
            </w:r>
          </w:p>
        </w:tc>
        <w:tc>
          <w:tcPr>
            <w:tcW w:type="dxa" w:w="2000"/>
            <w:tcMar>
              <w:top w:w="80" w:type="dxa"/>
              <w:start w:w="120" w:type="dxa"/>
              <w:bottom w:w="80" w:type="dxa"/>
              <w:end w:w="120" w:type="dxa"/>
            </w:tcMar>
            <w:vAlign w:val="center"/>
          </w:tcPr>
          <w:p>
            <w:pPr>
              <w:spacing w:after="0" w:line="252" w:lineRule="auto"/>
            </w:pPr>
            <w:r>
              <w:rPr>
                <w:rFonts w:ascii="Calibri" w:hAnsi="Calibri"/>
                <w:b w:val="0"/>
                <w:i w:val="0"/>
                <w:color w:val="111111"/>
                <w:sz w:val="16"/>
              </w:rPr>
              <w:t>Mechanical engineer; CxA (illustrative)</w:t>
            </w:r>
          </w:p>
        </w:tc>
        <w:tc>
          <w:tcPr>
            <w:tcW w:type="dxa" w:w="2960"/>
            <w:tcMar>
              <w:top w:w="80" w:type="dxa"/>
              <w:start w:w="120" w:type="dxa"/>
              <w:bottom w:w="80" w:type="dxa"/>
              <w:end w:w="120" w:type="dxa"/>
            </w:tcMar>
            <w:vAlign w:val="center"/>
          </w:tcPr>
          <w:p>
            <w:pPr>
              <w:spacing w:after="0" w:line="252" w:lineRule="auto"/>
            </w:pPr>
            <w:r>
              <w:rPr>
                <w:rFonts w:ascii="Calibri" w:hAnsi="Calibri"/>
                <w:b w:val="0"/>
                <w:i w:val="0"/>
                <w:color w:val="111111"/>
                <w:sz w:val="16"/>
              </w:rPr>
              <w:t>Commissioning plan, integrated systems testing, readiness and handover</w:t>
            </w:r>
          </w:p>
        </w:tc>
      </w:tr>
      <w:tr>
        <w:trPr>
          <w:cantSplit/>
        </w:trPr>
        <w:tc>
          <w:tcPr>
            <w:tcW w:type="dxa" w:w="22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BIM / Information Manager</w:t>
            </w:r>
          </w:p>
        </w:tc>
        <w:tc>
          <w:tcPr>
            <w:tcW w:type="dxa" w:w="22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Joelle Saad - Lebanese - 10 years</w:t>
            </w:r>
          </w:p>
        </w:tc>
        <w:tc>
          <w:tcPr>
            <w:tcW w:type="dxa" w:w="20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Architect; ISO 19650 training</w:t>
            </w:r>
          </w:p>
        </w:tc>
        <w:tc>
          <w:tcPr>
            <w:tcW w:type="dxa" w:w="29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CDE, model federation, clash workflows, naming, approvals and as-built information</w:t>
            </w:r>
          </w:p>
        </w:tc>
      </w:tr>
      <w:tr>
        <w:trPr>
          <w:cantSplit/>
        </w:trPr>
        <w:tc>
          <w:tcPr>
            <w:tcW w:type="dxa" w:w="2200"/>
            <w:tcMar>
              <w:top w:w="80" w:type="dxa"/>
              <w:start w:w="120" w:type="dxa"/>
              <w:bottom w:w="80" w:type="dxa"/>
              <w:end w:w="120" w:type="dxa"/>
            </w:tcMar>
            <w:vAlign w:val="center"/>
          </w:tcPr>
          <w:p>
            <w:pPr>
              <w:spacing w:after="0" w:line="252" w:lineRule="auto"/>
            </w:pPr>
            <w:r>
              <w:rPr>
                <w:rFonts w:ascii="Calibri" w:hAnsi="Calibri"/>
                <w:b w:val="0"/>
                <w:i w:val="0"/>
                <w:color w:val="111111"/>
                <w:sz w:val="16"/>
              </w:rPr>
              <w:t>Document Controller / Project Administrator</w:t>
            </w:r>
          </w:p>
        </w:tc>
        <w:tc>
          <w:tcPr>
            <w:tcW w:type="dxa" w:w="2200"/>
            <w:tcMar>
              <w:top w:w="80" w:type="dxa"/>
              <w:start w:w="120" w:type="dxa"/>
              <w:bottom w:w="80" w:type="dxa"/>
              <w:end w:w="120" w:type="dxa"/>
            </w:tcMar>
            <w:vAlign w:val="center"/>
          </w:tcPr>
          <w:p>
            <w:pPr>
              <w:spacing w:after="0" w:line="252" w:lineRule="auto"/>
            </w:pPr>
            <w:r>
              <w:rPr>
                <w:rFonts w:ascii="Calibri" w:hAnsi="Calibri"/>
                <w:b w:val="0"/>
                <w:i w:val="0"/>
                <w:color w:val="111111"/>
                <w:sz w:val="16"/>
              </w:rPr>
              <w:t>Martha G. Toe - Liberian - 8 years</w:t>
            </w:r>
          </w:p>
        </w:tc>
        <w:tc>
          <w:tcPr>
            <w:tcW w:type="dxa" w:w="2000"/>
            <w:tcMar>
              <w:top w:w="80" w:type="dxa"/>
              <w:start w:w="120" w:type="dxa"/>
              <w:bottom w:w="80" w:type="dxa"/>
              <w:end w:w="120" w:type="dxa"/>
            </w:tcMar>
            <w:vAlign w:val="center"/>
          </w:tcPr>
          <w:p>
            <w:pPr>
              <w:spacing w:after="0" w:line="252" w:lineRule="auto"/>
            </w:pPr>
            <w:r>
              <w:rPr>
                <w:rFonts w:ascii="Calibri" w:hAnsi="Calibri"/>
                <w:b w:val="0"/>
                <w:i w:val="0"/>
                <w:color w:val="111111"/>
                <w:sz w:val="16"/>
              </w:rPr>
              <w:t>Records-management diploma</w:t>
            </w:r>
          </w:p>
        </w:tc>
        <w:tc>
          <w:tcPr>
            <w:tcW w:type="dxa" w:w="2960"/>
            <w:tcMar>
              <w:top w:w="80" w:type="dxa"/>
              <w:start w:w="120" w:type="dxa"/>
              <w:bottom w:w="80" w:type="dxa"/>
              <w:end w:w="120" w:type="dxa"/>
            </w:tcMar>
            <w:vAlign w:val="center"/>
          </w:tcPr>
          <w:p>
            <w:pPr>
              <w:spacing w:after="0" w:line="252" w:lineRule="auto"/>
            </w:pPr>
            <w:r>
              <w:rPr>
                <w:rFonts w:ascii="Calibri" w:hAnsi="Calibri"/>
                <w:b w:val="0"/>
                <w:i w:val="0"/>
                <w:color w:val="111111"/>
                <w:sz w:val="16"/>
              </w:rPr>
              <w:t>Registers, transmittals, versions, decisions, audit trail and meeting records</w:t>
            </w:r>
          </w:p>
        </w:tc>
      </w:tr>
    </w:tbl>
    <w:p>
      <w:pPr>
        <w:spacing w:before="0" w:after="40" w:line="300" w:lineRule="auto"/>
      </w:pPr>
    </w:p>
    <w:p>
      <w:pPr>
        <w:pStyle w:val="Heading1"/>
        <w:keepNext/>
      </w:pPr>
      <w:r>
        <w:t>6. What else is missing from a bid package?</w:t>
      </w:r>
    </w:p>
    <w:tbl>
      <w:tblPr>
        <w:tblW w:type="dxa" w:w="9360"/>
        <w:jc w:val="left"/>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vAlign w:val="center"/>
            <w:shd w:fill="E8EEF5"/>
          </w:tcPr>
          <w:p>
            <w:pPr>
              <w:spacing w:after="40"/>
            </w:pPr>
            <w:r>
              <w:rPr>
                <w:rFonts w:ascii="Calibri" w:hAnsi="Calibri"/>
                <w:b/>
                <w:i w:val="0"/>
                <w:color w:val="2E74B5"/>
                <w:sz w:val="22"/>
              </w:rPr>
              <w:t xml:space="preserve">Teaching point: </w:t>
            </w:r>
            <w:r>
              <w:rPr>
                <w:rFonts w:ascii="Calibri" w:hAnsi="Calibri"/>
                <w:b w:val="0"/>
                <w:i w:val="0"/>
                <w:color w:val="111111"/>
                <w:sz w:val="22"/>
              </w:rPr>
              <w:t>The RFP contains requirements, but it does not provide a complete set of proposal forms. Students should build a compliance matrix before drafting and mark each item as supplied, to be obtained, clarification required, or not applicable.</w:t>
            </w:r>
          </w:p>
        </w:tc>
      </w:tr>
    </w:tbl>
    <w:p>
      <w:pPr>
        <w:spacing w:before="0" w:after="40" w:line="300" w:lineRule="auto"/>
      </w:pPr>
    </w:p>
    <w:tbl>
      <w:tblPr>
        <w:tblStyle w:val="TableGrid"/>
        <w:tblW w:type="dxa" w:w="9360"/>
        <w:jc w:val="left"/>
        <w:tblLayout w:type="fixed"/>
        <w:tblLook w:firstColumn="1" w:firstRow="1" w:lastColumn="0" w:lastRow="0" w:noHBand="0" w:noVBand="1" w:val="04A0"/>
        <w:tblInd w:w="120" w:type="dxa"/>
      </w:tblPr>
      <w:tblGrid>
        <w:gridCol w:w="1800"/>
        <w:gridCol w:w="5860"/>
        <w:gridCol w:w="1700"/>
      </w:tblGrid>
      <w:tr>
        <w:trPr>
          <w:tblHeader w:val="true"/>
          <w:cantSplit/>
        </w:trPr>
        <w:tc>
          <w:tcPr>
            <w:tcW w:type="dxa" w:w="1800"/>
            <w:shd w:fill="18324A"/>
            <w:tcMar>
              <w:top w:w="80" w:type="dxa"/>
              <w:start w:w="120" w:type="dxa"/>
              <w:bottom w:w="80" w:type="dxa"/>
              <w:end w:w="120" w:type="dxa"/>
            </w:tcMar>
            <w:vAlign w:val="center"/>
          </w:tcPr>
          <w:p>
            <w:pPr>
              <w:spacing w:after="0"/>
              <w:jc w:val="center"/>
            </w:pPr>
            <w:r>
              <w:rPr>
                <w:rFonts w:ascii="Calibri" w:hAnsi="Calibri"/>
                <w:b/>
                <w:i w:val="0"/>
                <w:color w:val="FFFFFF"/>
                <w:sz w:val="16"/>
              </w:rPr>
              <w:t>Package section</w:t>
            </w:r>
          </w:p>
        </w:tc>
        <w:tc>
          <w:tcPr>
            <w:tcW w:type="dxa" w:w="5860"/>
            <w:shd w:fill="18324A"/>
            <w:tcMar>
              <w:top w:w="80" w:type="dxa"/>
              <w:start w:w="120" w:type="dxa"/>
              <w:bottom w:w="80" w:type="dxa"/>
              <w:end w:w="120" w:type="dxa"/>
            </w:tcMar>
            <w:vAlign w:val="center"/>
          </w:tcPr>
          <w:p>
            <w:pPr>
              <w:spacing w:after="0"/>
              <w:jc w:val="center"/>
            </w:pPr>
            <w:r>
              <w:rPr>
                <w:rFonts w:ascii="Calibri" w:hAnsi="Calibri"/>
                <w:b/>
                <w:i w:val="0"/>
                <w:color w:val="FFFFFF"/>
                <w:sz w:val="16"/>
              </w:rPr>
              <w:t>Items to include</w:t>
            </w:r>
          </w:p>
        </w:tc>
        <w:tc>
          <w:tcPr>
            <w:tcW w:type="dxa" w:w="1700"/>
            <w:shd w:fill="18324A"/>
            <w:tcMar>
              <w:top w:w="80" w:type="dxa"/>
              <w:start w:w="120" w:type="dxa"/>
              <w:bottom w:w="80" w:type="dxa"/>
              <w:end w:w="120" w:type="dxa"/>
            </w:tcMar>
            <w:vAlign w:val="center"/>
          </w:tcPr>
          <w:p>
            <w:pPr>
              <w:spacing w:after="0"/>
              <w:jc w:val="center"/>
            </w:pPr>
            <w:r>
              <w:rPr>
                <w:rFonts w:ascii="Calibri" w:hAnsi="Calibri"/>
                <w:b/>
                <w:i w:val="0"/>
                <w:color w:val="FFFFFF"/>
                <w:sz w:val="16"/>
              </w:rPr>
              <w:t>Status / action</w:t>
            </w:r>
          </w:p>
        </w:tc>
      </w:tr>
      <w:tr>
        <w:trPr>
          <w:cantSplit/>
        </w:trPr>
        <w:tc>
          <w:tcPr>
            <w:tcW w:type="dxa" w:w="1800"/>
            <w:tcMar>
              <w:top w:w="80" w:type="dxa"/>
              <w:start w:w="120" w:type="dxa"/>
              <w:bottom w:w="80" w:type="dxa"/>
              <w:end w:w="120" w:type="dxa"/>
            </w:tcMar>
            <w:vAlign w:val="center"/>
          </w:tcPr>
          <w:p>
            <w:pPr>
              <w:spacing w:after="0" w:line="252" w:lineRule="auto"/>
            </w:pPr>
            <w:r>
              <w:rPr>
                <w:rFonts w:ascii="Calibri" w:hAnsi="Calibri"/>
                <w:b w:val="0"/>
                <w:i w:val="0"/>
                <w:color w:val="111111"/>
                <w:sz w:val="16"/>
              </w:rPr>
              <w:t>A. Submission</w:t>
            </w:r>
          </w:p>
        </w:tc>
        <w:tc>
          <w:tcPr>
            <w:tcW w:type="dxa" w:w="5860"/>
            <w:tcMar>
              <w:top w:w="80" w:type="dxa"/>
              <w:start w:w="120" w:type="dxa"/>
              <w:bottom w:w="80" w:type="dxa"/>
              <w:end w:w="120" w:type="dxa"/>
            </w:tcMar>
            <w:vAlign w:val="center"/>
          </w:tcPr>
          <w:p>
            <w:pPr>
              <w:spacing w:after="0" w:line="252" w:lineRule="auto"/>
            </w:pPr>
            <w:r>
              <w:rPr>
                <w:rFonts w:ascii="Calibri" w:hAnsi="Calibri"/>
                <w:b w:val="0"/>
                <w:i w:val="0"/>
                <w:color w:val="111111"/>
                <w:sz w:val="16"/>
              </w:rPr>
              <w:t>Signed technical proposal submission letter; signed financial proposal letter; power of attorney; page initials where required; one original plus four bound copies; separate technical and financial proposals; envelope labels; representative names/IDs for opening</w:t>
            </w:r>
          </w:p>
        </w:tc>
        <w:tc>
          <w:tcPr>
            <w:tcW w:type="dxa" w:w="1700"/>
            <w:tcMar>
              <w:top w:w="80" w:type="dxa"/>
              <w:start w:w="120" w:type="dxa"/>
              <w:bottom w:w="80" w:type="dxa"/>
              <w:end w:w="120" w:type="dxa"/>
            </w:tcMar>
            <w:vAlign w:val="center"/>
          </w:tcPr>
          <w:p>
            <w:pPr>
              <w:spacing w:after="0" w:line="252" w:lineRule="auto"/>
            </w:pPr>
            <w:r>
              <w:rPr>
                <w:rFonts w:ascii="Calibri" w:hAnsi="Calibri"/>
                <w:b w:val="0"/>
                <w:i w:val="0"/>
                <w:color w:val="111111"/>
                <w:sz w:val="16"/>
              </w:rPr>
              <w:t>Missing from teaching bid unless prepared</w:t>
            </w:r>
          </w:p>
        </w:tc>
      </w:tr>
      <w:tr>
        <w:trPr>
          <w:cantSplit/>
        </w:trPr>
        <w:tc>
          <w:tcPr>
            <w:tcW w:type="dxa" w:w="18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B. Bid security</w:t>
            </w:r>
          </w:p>
        </w:tc>
        <w:tc>
          <w:tcPr>
            <w:tcW w:type="dxa" w:w="58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USD 10,000 original bid security or permitted securing declaration; correct form, issuer, beneficiary, validity and claim period</w:t>
            </w:r>
          </w:p>
        </w:tc>
        <w:tc>
          <w:tcPr>
            <w:tcW w:type="dxa" w:w="17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Requirement stated; form/details unclear</w:t>
            </w:r>
          </w:p>
        </w:tc>
      </w:tr>
      <w:tr>
        <w:trPr>
          <w:cantSplit/>
        </w:trPr>
        <w:tc>
          <w:tcPr>
            <w:tcW w:type="dxa" w:w="1800"/>
            <w:tcMar>
              <w:top w:w="80" w:type="dxa"/>
              <w:start w:w="120" w:type="dxa"/>
              <w:bottom w:w="80" w:type="dxa"/>
              <w:end w:w="120" w:type="dxa"/>
            </w:tcMar>
            <w:vAlign w:val="center"/>
          </w:tcPr>
          <w:p>
            <w:pPr>
              <w:spacing w:after="0" w:line="252" w:lineRule="auto"/>
            </w:pPr>
            <w:r>
              <w:rPr>
                <w:rFonts w:ascii="Calibri" w:hAnsi="Calibri"/>
                <w:b w:val="0"/>
                <w:i w:val="0"/>
                <w:color w:val="111111"/>
                <w:sz w:val="16"/>
              </w:rPr>
              <w:t>C. Legal eligibility</w:t>
            </w:r>
          </w:p>
        </w:tc>
        <w:tc>
          <w:tcPr>
            <w:tcW w:type="dxa" w:w="5860"/>
            <w:tcMar>
              <w:top w:w="80" w:type="dxa"/>
              <w:start w:w="120" w:type="dxa"/>
              <w:bottom w:w="80" w:type="dxa"/>
              <w:end w:w="120" w:type="dxa"/>
            </w:tcMar>
            <w:vAlign w:val="center"/>
          </w:tcPr>
          <w:p>
            <w:pPr>
              <w:spacing w:after="0" w:line="252" w:lineRule="auto"/>
            </w:pPr>
            <w:r>
              <w:rPr>
                <w:rFonts w:ascii="Calibri" w:hAnsi="Calibri"/>
                <w:b w:val="0"/>
                <w:i w:val="0"/>
                <w:color w:val="111111"/>
                <w:sz w:val="16"/>
              </w:rPr>
              <w:t>Articles of incorporation; valid business registration; tax clearance; social-security registration; non-debarment, bankruptcy, conflict and eligibility declarations</w:t>
            </w:r>
          </w:p>
        </w:tc>
        <w:tc>
          <w:tcPr>
            <w:tcW w:type="dxa" w:w="1700"/>
            <w:tcMar>
              <w:top w:w="80" w:type="dxa"/>
              <w:start w:w="120" w:type="dxa"/>
              <w:bottom w:w="80" w:type="dxa"/>
              <w:end w:w="120" w:type="dxa"/>
            </w:tcMar>
            <w:vAlign w:val="center"/>
          </w:tcPr>
          <w:p>
            <w:pPr>
              <w:spacing w:after="0" w:line="252" w:lineRule="auto"/>
            </w:pPr>
            <w:r>
              <w:rPr>
                <w:rFonts w:ascii="Calibri" w:hAnsi="Calibri"/>
                <w:b w:val="0"/>
                <w:i w:val="0"/>
                <w:color w:val="111111"/>
                <w:sz w:val="16"/>
              </w:rPr>
              <w:t>Collect authenticated/translated evidence</w:t>
            </w:r>
          </w:p>
        </w:tc>
      </w:tr>
      <w:tr>
        <w:trPr>
          <w:cantSplit/>
        </w:trPr>
        <w:tc>
          <w:tcPr>
            <w:tcW w:type="dxa" w:w="18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D. Firm qualification</w:t>
            </w:r>
          </w:p>
        </w:tc>
        <w:tc>
          <w:tcPr>
            <w:tcW w:type="dxa" w:w="58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18+ year profile; five comparable contracts; values, dates, scope and roles; client references; completion evidence; independence from construction contractors</w:t>
            </w:r>
          </w:p>
        </w:tc>
        <w:tc>
          <w:tcPr>
            <w:tcW w:type="dxa" w:w="17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Add evidence, not narrative only</w:t>
            </w:r>
          </w:p>
        </w:tc>
      </w:tr>
      <w:tr>
        <w:trPr>
          <w:cantSplit/>
        </w:trPr>
        <w:tc>
          <w:tcPr>
            <w:tcW w:type="dxa" w:w="1800"/>
            <w:tcMar>
              <w:top w:w="80" w:type="dxa"/>
              <w:start w:w="120" w:type="dxa"/>
              <w:bottom w:w="80" w:type="dxa"/>
              <w:end w:w="120" w:type="dxa"/>
            </w:tcMar>
            <w:vAlign w:val="center"/>
          </w:tcPr>
          <w:p>
            <w:pPr>
              <w:spacing w:after="0" w:line="252" w:lineRule="auto"/>
            </w:pPr>
            <w:r>
              <w:rPr>
                <w:rFonts w:ascii="Calibri" w:hAnsi="Calibri"/>
                <w:b w:val="0"/>
                <w:i w:val="0"/>
                <w:color w:val="111111"/>
                <w:sz w:val="16"/>
              </w:rPr>
              <w:t>E. Financial capacity</w:t>
            </w:r>
          </w:p>
        </w:tc>
        <w:tc>
          <w:tcPr>
            <w:tcW w:type="dxa" w:w="5860"/>
            <w:tcMar>
              <w:top w:w="80" w:type="dxa"/>
              <w:start w:w="120" w:type="dxa"/>
              <w:bottom w:w="80" w:type="dxa"/>
              <w:end w:w="120" w:type="dxa"/>
            </w:tcMar>
            <w:vAlign w:val="center"/>
          </w:tcPr>
          <w:p>
            <w:pPr>
              <w:spacing w:after="0" w:line="252" w:lineRule="auto"/>
            </w:pPr>
            <w:r>
              <w:rPr>
                <w:rFonts w:ascii="Calibri" w:hAnsi="Calibri"/>
                <w:b w:val="0"/>
                <w:i w:val="0"/>
                <w:color w:val="111111"/>
                <w:sz w:val="16"/>
              </w:rPr>
              <w:t>Audited statements for 2022, 2023 and 2024; financial-resources statement; bank support/credit if relevant</w:t>
            </w:r>
          </w:p>
        </w:tc>
        <w:tc>
          <w:tcPr>
            <w:tcW w:type="dxa" w:w="1700"/>
            <w:tcMar>
              <w:top w:w="80" w:type="dxa"/>
              <w:start w:w="120" w:type="dxa"/>
              <w:bottom w:w="80" w:type="dxa"/>
              <w:end w:w="120" w:type="dxa"/>
            </w:tcMar>
            <w:vAlign w:val="center"/>
          </w:tcPr>
          <w:p>
            <w:pPr>
              <w:spacing w:after="0" w:line="252" w:lineRule="auto"/>
            </w:pPr>
            <w:r>
              <w:rPr>
                <w:rFonts w:ascii="Calibri" w:hAnsi="Calibri"/>
                <w:b w:val="0"/>
                <w:i w:val="0"/>
                <w:color w:val="111111"/>
                <w:sz w:val="16"/>
              </w:rPr>
              <w:t>Confirm whether 2025 statements may/should be added</w:t>
            </w:r>
          </w:p>
        </w:tc>
      </w:tr>
      <w:tr>
        <w:trPr>
          <w:cantSplit/>
        </w:trPr>
        <w:tc>
          <w:tcPr>
            <w:tcW w:type="dxa" w:w="18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F. Technical approach</w:t>
            </w:r>
          </w:p>
        </w:tc>
        <w:tc>
          <w:tcPr>
            <w:tcW w:type="dxa" w:w="58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Conceptual design; methodology; work plan; QA and risk methodology; stakeholder plan; design/procurement/supervision/commissioning/DLP approach</w:t>
            </w:r>
          </w:p>
        </w:tc>
        <w:tc>
          <w:tcPr>
            <w:tcW w:type="dxa" w:w="17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Core scored content</w:t>
            </w:r>
          </w:p>
        </w:tc>
      </w:tr>
      <w:tr>
        <w:trPr>
          <w:cantSplit/>
        </w:trPr>
        <w:tc>
          <w:tcPr>
            <w:tcW w:type="dxa" w:w="1800"/>
            <w:tcMar>
              <w:top w:w="80" w:type="dxa"/>
              <w:start w:w="120" w:type="dxa"/>
              <w:bottom w:w="80" w:type="dxa"/>
              <w:end w:w="120" w:type="dxa"/>
            </w:tcMar>
            <w:vAlign w:val="center"/>
          </w:tcPr>
          <w:p>
            <w:pPr>
              <w:spacing w:after="0" w:line="252" w:lineRule="auto"/>
            </w:pPr>
            <w:r>
              <w:rPr>
                <w:rFonts w:ascii="Calibri" w:hAnsi="Calibri"/>
                <w:b w:val="0"/>
                <w:i w:val="0"/>
                <w:color w:val="111111"/>
                <w:sz w:val="16"/>
              </w:rPr>
              <w:t>G. Staffing</w:t>
            </w:r>
          </w:p>
        </w:tc>
        <w:tc>
          <w:tcPr>
            <w:tcW w:type="dxa" w:w="5860"/>
            <w:tcMar>
              <w:top w:w="80" w:type="dxa"/>
              <w:start w:w="120" w:type="dxa"/>
              <w:bottom w:w="80" w:type="dxa"/>
              <w:end w:w="120" w:type="dxa"/>
            </w:tcMar>
            <w:vAlign w:val="center"/>
          </w:tcPr>
          <w:p>
            <w:pPr>
              <w:spacing w:after="0" w:line="252" w:lineRule="auto"/>
            </w:pPr>
            <w:r>
              <w:rPr>
                <w:rFonts w:ascii="Calibri" w:hAnsi="Calibri"/>
                <w:b w:val="0"/>
                <w:i w:val="0"/>
                <w:color w:val="111111"/>
                <w:sz w:val="16"/>
              </w:rPr>
              <w:t>Organization chart; seven signed key CVs; support CVs; role matrix; person-month and deployment schedule; full-time CBL staff identification; Liberian participation and knowledge-transfer plan</w:t>
            </w:r>
          </w:p>
        </w:tc>
        <w:tc>
          <w:tcPr>
            <w:tcW w:type="dxa" w:w="1700"/>
            <w:tcMar>
              <w:top w:w="80" w:type="dxa"/>
              <w:start w:w="120" w:type="dxa"/>
              <w:bottom w:w="80" w:type="dxa"/>
              <w:end w:w="120" w:type="dxa"/>
            </w:tcMar>
            <w:vAlign w:val="center"/>
          </w:tcPr>
          <w:p>
            <w:pPr>
              <w:spacing w:after="0" w:line="252" w:lineRule="auto"/>
            </w:pPr>
            <w:r>
              <w:rPr>
                <w:rFonts w:ascii="Calibri" w:hAnsi="Calibri"/>
                <w:b w:val="0"/>
                <w:i w:val="0"/>
                <w:color w:val="111111"/>
                <w:sz w:val="16"/>
              </w:rPr>
              <w:t>Critical - 60 technical points</w:t>
            </w:r>
          </w:p>
        </w:tc>
      </w:tr>
      <w:tr>
        <w:trPr>
          <w:cantSplit/>
        </w:trPr>
        <w:tc>
          <w:tcPr>
            <w:tcW w:type="dxa" w:w="18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H. Programme</w:t>
            </w:r>
          </w:p>
        </w:tc>
        <w:tc>
          <w:tcPr>
            <w:tcW w:type="dxa" w:w="58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36-month integrated schedule including design, tender, construction, commissioning and 12-month DLP; dependencies, approvals and deliverable dates</w:t>
            </w:r>
          </w:p>
        </w:tc>
        <w:tc>
          <w:tcPr>
            <w:tcW w:type="dxa" w:w="17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Must reconcile with payment schedule</w:t>
            </w:r>
          </w:p>
        </w:tc>
      </w:tr>
      <w:tr>
        <w:trPr>
          <w:cantSplit/>
        </w:trPr>
        <w:tc>
          <w:tcPr>
            <w:tcW w:type="dxa" w:w="1800"/>
            <w:tcMar>
              <w:top w:w="80" w:type="dxa"/>
              <w:start w:w="120" w:type="dxa"/>
              <w:bottom w:w="80" w:type="dxa"/>
              <w:end w:w="120" w:type="dxa"/>
            </w:tcMar>
            <w:vAlign w:val="center"/>
          </w:tcPr>
          <w:p>
            <w:pPr>
              <w:spacing w:after="0" w:line="252" w:lineRule="auto"/>
            </w:pPr>
            <w:r>
              <w:rPr>
                <w:rFonts w:ascii="Calibri" w:hAnsi="Calibri"/>
                <w:b w:val="0"/>
                <w:i w:val="0"/>
                <w:color w:val="111111"/>
                <w:sz w:val="16"/>
              </w:rPr>
              <w:t>I. Financial</w:t>
            </w:r>
          </w:p>
        </w:tc>
        <w:tc>
          <w:tcPr>
            <w:tcW w:type="dxa" w:w="5860"/>
            <w:tcMar>
              <w:top w:w="80" w:type="dxa"/>
              <w:start w:w="120" w:type="dxa"/>
              <w:bottom w:w="80" w:type="dxa"/>
              <w:end w:w="120" w:type="dxa"/>
            </w:tcMar>
            <w:vAlign w:val="center"/>
          </w:tcPr>
          <w:p>
            <w:pPr>
              <w:spacing w:after="0" w:line="252" w:lineRule="auto"/>
            </w:pPr>
            <w:r>
              <w:rPr>
                <w:rFonts w:ascii="Calibri" w:hAnsi="Calibri"/>
                <w:b w:val="0"/>
                <w:i w:val="0"/>
                <w:color w:val="111111"/>
                <w:sz w:val="16"/>
              </w:rPr>
              <w:t>Lump-sum cost by phase; professional fees; reimbursables; taxes; payment schedule; person-month basis/supporting assumptions; 10% retention cash-flow effect</w:t>
            </w:r>
          </w:p>
        </w:tc>
        <w:tc>
          <w:tcPr>
            <w:tcW w:type="dxa" w:w="1700"/>
            <w:tcMar>
              <w:top w:w="80" w:type="dxa"/>
              <w:start w:w="120" w:type="dxa"/>
              <w:bottom w:w="80" w:type="dxa"/>
              <w:end w:w="120" w:type="dxa"/>
            </w:tcMar>
            <w:vAlign w:val="center"/>
          </w:tcPr>
          <w:p>
            <w:pPr>
              <w:spacing w:after="0" w:line="252" w:lineRule="auto"/>
            </w:pPr>
            <w:r>
              <w:rPr>
                <w:rFonts w:ascii="Calibri" w:hAnsi="Calibri"/>
                <w:b w:val="0"/>
                <w:i w:val="0"/>
                <w:color w:val="111111"/>
                <w:sz w:val="16"/>
              </w:rPr>
              <w:t>Submit separately</w:t>
            </w:r>
          </w:p>
        </w:tc>
      </w:tr>
      <w:tr>
        <w:trPr>
          <w:cantSplit/>
        </w:trPr>
        <w:tc>
          <w:tcPr>
            <w:tcW w:type="dxa" w:w="18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J. Declarations</w:t>
            </w:r>
          </w:p>
        </w:tc>
        <w:tc>
          <w:tcPr>
            <w:tcW w:type="dxa" w:w="58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Truthfulness; CV availability/exclusivity; confidentiality/data protection; anti-collusion/anti-corruption; conflict; independence; acceptance of RFP; validity for 60 days</w:t>
            </w:r>
          </w:p>
        </w:tc>
        <w:tc>
          <w:tcPr>
            <w:tcW w:type="dxa" w:w="17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Draft bidder forms</w:t>
            </w:r>
          </w:p>
        </w:tc>
      </w:tr>
      <w:tr>
        <w:trPr>
          <w:cantSplit/>
        </w:trPr>
        <w:tc>
          <w:tcPr>
            <w:tcW w:type="dxa" w:w="1800"/>
            <w:tcMar>
              <w:top w:w="80" w:type="dxa"/>
              <w:start w:w="120" w:type="dxa"/>
              <w:bottom w:w="80" w:type="dxa"/>
              <w:end w:w="120" w:type="dxa"/>
            </w:tcMar>
            <w:vAlign w:val="center"/>
          </w:tcPr>
          <w:p>
            <w:pPr>
              <w:spacing w:after="0" w:line="252" w:lineRule="auto"/>
            </w:pPr>
            <w:r>
              <w:rPr>
                <w:rFonts w:ascii="Calibri" w:hAnsi="Calibri"/>
                <w:b w:val="0"/>
                <w:i w:val="0"/>
                <w:color w:val="111111"/>
                <w:sz w:val="16"/>
              </w:rPr>
              <w:t>K. Evidence control</w:t>
            </w:r>
          </w:p>
        </w:tc>
        <w:tc>
          <w:tcPr>
            <w:tcW w:type="dxa" w:w="5860"/>
            <w:tcMar>
              <w:top w:w="80" w:type="dxa"/>
              <w:start w:w="120" w:type="dxa"/>
              <w:bottom w:w="80" w:type="dxa"/>
              <w:end w:w="120" w:type="dxa"/>
            </w:tcMar>
            <w:vAlign w:val="center"/>
          </w:tcPr>
          <w:p>
            <w:pPr>
              <w:spacing w:after="0" w:line="252" w:lineRule="auto"/>
            </w:pPr>
            <w:r>
              <w:rPr>
                <w:rFonts w:ascii="Calibri" w:hAnsi="Calibri"/>
                <w:b w:val="0"/>
                <w:i w:val="0"/>
                <w:color w:val="111111"/>
                <w:sz w:val="16"/>
              </w:rPr>
              <w:t>Document index; compliance matrix; certificate expiry check; consistent names/dates/values; reference consent; translation/notarization/legalization plan</w:t>
            </w:r>
          </w:p>
        </w:tc>
        <w:tc>
          <w:tcPr>
            <w:tcW w:type="dxa" w:w="1700"/>
            <w:tcMar>
              <w:top w:w="80" w:type="dxa"/>
              <w:start w:w="120" w:type="dxa"/>
              <w:bottom w:w="80" w:type="dxa"/>
              <w:end w:w="120" w:type="dxa"/>
            </w:tcMar>
            <w:vAlign w:val="center"/>
          </w:tcPr>
          <w:p>
            <w:pPr>
              <w:spacing w:after="0" w:line="252" w:lineRule="auto"/>
            </w:pPr>
            <w:r>
              <w:rPr>
                <w:rFonts w:ascii="Calibri" w:hAnsi="Calibri"/>
                <w:b w:val="0"/>
                <w:i w:val="0"/>
                <w:color w:val="111111"/>
                <w:sz w:val="16"/>
              </w:rPr>
              <w:t>Run final red-team check</w:t>
            </w:r>
          </w:p>
        </w:tc>
      </w:tr>
    </w:tbl>
    <w:p>
      <w:pPr>
        <w:spacing w:before="0" w:after="40" w:line="300" w:lineRule="auto"/>
      </w:pPr>
    </w:p>
    <w:p>
      <w:pPr>
        <w:pStyle w:val="Heading1"/>
        <w:keepNext/>
      </w:pPr>
      <w:r>
        <w:t>7. RFP ambiguities and missing procurement information</w:t>
      </w:r>
    </w:p>
    <w:tbl>
      <w:tblPr>
        <w:tblStyle w:val="TableGrid"/>
        <w:tblW w:type="dxa" w:w="9360"/>
        <w:jc w:val="left"/>
        <w:tblLayout w:type="fixed"/>
        <w:tblLook w:firstColumn="1" w:firstRow="1" w:lastColumn="0" w:lastRow="0" w:noHBand="0" w:noVBand="1" w:val="04A0"/>
        <w:tblInd w:w="120" w:type="dxa"/>
      </w:tblPr>
      <w:tblGrid>
        <w:gridCol w:w="1900"/>
        <w:gridCol w:w="3760"/>
        <w:gridCol w:w="3700"/>
      </w:tblGrid>
      <w:tr>
        <w:trPr>
          <w:tblHeader w:val="true"/>
          <w:cantSplit/>
        </w:trPr>
        <w:tc>
          <w:tcPr>
            <w:tcW w:type="dxa" w:w="1900"/>
            <w:shd w:fill="18324A"/>
            <w:tcMar>
              <w:top w:w="80" w:type="dxa"/>
              <w:start w:w="120" w:type="dxa"/>
              <w:bottom w:w="80" w:type="dxa"/>
              <w:end w:w="120" w:type="dxa"/>
            </w:tcMar>
            <w:vAlign w:val="center"/>
          </w:tcPr>
          <w:p>
            <w:pPr>
              <w:spacing w:after="0"/>
              <w:jc w:val="center"/>
            </w:pPr>
            <w:r>
              <w:rPr>
                <w:rFonts w:ascii="Calibri" w:hAnsi="Calibri"/>
                <w:b/>
                <w:i w:val="0"/>
                <w:color w:val="FFFFFF"/>
                <w:sz w:val="16"/>
              </w:rPr>
              <w:t>Issue</w:t>
            </w:r>
          </w:p>
        </w:tc>
        <w:tc>
          <w:tcPr>
            <w:tcW w:type="dxa" w:w="3760"/>
            <w:shd w:fill="18324A"/>
            <w:tcMar>
              <w:top w:w="80" w:type="dxa"/>
              <w:start w:w="120" w:type="dxa"/>
              <w:bottom w:w="80" w:type="dxa"/>
              <w:end w:w="120" w:type="dxa"/>
            </w:tcMar>
            <w:vAlign w:val="center"/>
          </w:tcPr>
          <w:p>
            <w:pPr>
              <w:spacing w:after="0"/>
              <w:jc w:val="center"/>
            </w:pPr>
            <w:r>
              <w:rPr>
                <w:rFonts w:ascii="Calibri" w:hAnsi="Calibri"/>
                <w:b/>
                <w:i w:val="0"/>
                <w:color w:val="FFFFFF"/>
                <w:sz w:val="16"/>
              </w:rPr>
              <w:t>Why it matters</w:t>
            </w:r>
          </w:p>
        </w:tc>
        <w:tc>
          <w:tcPr>
            <w:tcW w:type="dxa" w:w="3700"/>
            <w:shd w:fill="18324A"/>
            <w:tcMar>
              <w:top w:w="80" w:type="dxa"/>
              <w:start w:w="120" w:type="dxa"/>
              <w:bottom w:w="80" w:type="dxa"/>
              <w:end w:w="120" w:type="dxa"/>
            </w:tcMar>
            <w:vAlign w:val="center"/>
          </w:tcPr>
          <w:p>
            <w:pPr>
              <w:spacing w:after="0"/>
              <w:jc w:val="center"/>
            </w:pPr>
            <w:r>
              <w:rPr>
                <w:rFonts w:ascii="Calibri" w:hAnsi="Calibri"/>
                <w:b/>
                <w:i w:val="0"/>
                <w:color w:val="FFFFFF"/>
                <w:sz w:val="16"/>
              </w:rPr>
              <w:t>Recommended clarification</w:t>
            </w:r>
          </w:p>
        </w:tc>
      </w:tr>
      <w:tr>
        <w:trPr>
          <w:cantSplit/>
        </w:trPr>
        <w:tc>
          <w:tcPr>
            <w:tcW w:type="dxa" w:w="1900"/>
            <w:tcMar>
              <w:top w:w="80" w:type="dxa"/>
              <w:start w:w="120" w:type="dxa"/>
              <w:bottom w:w="80" w:type="dxa"/>
              <w:end w:w="120" w:type="dxa"/>
            </w:tcMar>
            <w:vAlign w:val="center"/>
          </w:tcPr>
          <w:p>
            <w:pPr>
              <w:spacing w:after="0" w:line="252" w:lineRule="auto"/>
            </w:pPr>
            <w:r>
              <w:rPr>
                <w:rFonts w:ascii="Calibri" w:hAnsi="Calibri"/>
                <w:b w:val="0"/>
                <w:i w:val="0"/>
                <w:color w:val="111111"/>
                <w:sz w:val="16"/>
              </w:rPr>
              <w:t>RFP number conflict</w:t>
            </w:r>
          </w:p>
        </w:tc>
        <w:tc>
          <w:tcPr>
            <w:tcW w:type="dxa" w:w="3760"/>
            <w:tcMar>
              <w:top w:w="80" w:type="dxa"/>
              <w:start w:w="120" w:type="dxa"/>
              <w:bottom w:w="80" w:type="dxa"/>
              <w:end w:w="120" w:type="dxa"/>
            </w:tcMar>
            <w:vAlign w:val="center"/>
          </w:tcPr>
          <w:p>
            <w:pPr>
              <w:spacing w:after="0" w:line="252" w:lineRule="auto"/>
            </w:pPr>
            <w:r>
              <w:rPr>
                <w:rFonts w:ascii="Calibri" w:hAnsi="Calibri"/>
                <w:b w:val="0"/>
                <w:i w:val="0"/>
                <w:color w:val="111111"/>
                <w:sz w:val="16"/>
              </w:rPr>
              <w:t>The Bid Data Sheet states CBL/RFP/09/2026, while the TOR heading states CBL/RFP/08/2026.</w:t>
            </w:r>
          </w:p>
        </w:tc>
        <w:tc>
          <w:tcPr>
            <w:tcW w:type="dxa" w:w="3700"/>
            <w:tcMar>
              <w:top w:w="80" w:type="dxa"/>
              <w:start w:w="120" w:type="dxa"/>
              <w:bottom w:w="80" w:type="dxa"/>
              <w:end w:w="120" w:type="dxa"/>
            </w:tcMar>
            <w:vAlign w:val="center"/>
          </w:tcPr>
          <w:p>
            <w:pPr>
              <w:spacing w:after="0" w:line="252" w:lineRule="auto"/>
            </w:pPr>
            <w:r>
              <w:rPr>
                <w:rFonts w:ascii="Calibri" w:hAnsi="Calibri"/>
                <w:b w:val="0"/>
                <w:i w:val="0"/>
                <w:color w:val="111111"/>
                <w:sz w:val="16"/>
              </w:rPr>
              <w:t>Ask CBL to confirm the controlling reference for letters, security and envelope labels.</w:t>
            </w:r>
          </w:p>
        </w:tc>
      </w:tr>
      <w:tr>
        <w:trPr>
          <w:cantSplit/>
        </w:trPr>
        <w:tc>
          <w:tcPr>
            <w:tcW w:type="dxa" w:w="19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Submission method conflict</w:t>
            </w:r>
          </w:p>
        </w:tc>
        <w:tc>
          <w:tcPr>
            <w:tcW w:type="dxa" w:w="37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The invitation mentions electronic submission to procurement@cbl.org.lr, while the instructions require sealed originals/copies and one original plus four bound copies.</w:t>
            </w:r>
          </w:p>
        </w:tc>
        <w:tc>
          <w:tcPr>
            <w:tcW w:type="dxa" w:w="37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Ask whether hard copy, email, or both control; request file-format/password/opening instructions if electronic.</w:t>
            </w:r>
          </w:p>
        </w:tc>
      </w:tr>
      <w:tr>
        <w:trPr>
          <w:cantSplit/>
        </w:trPr>
        <w:tc>
          <w:tcPr>
            <w:tcW w:type="dxa" w:w="1900"/>
            <w:tcMar>
              <w:top w:w="80" w:type="dxa"/>
              <w:start w:w="120" w:type="dxa"/>
              <w:bottom w:w="80" w:type="dxa"/>
              <w:end w:w="120" w:type="dxa"/>
            </w:tcMar>
            <w:vAlign w:val="center"/>
          </w:tcPr>
          <w:p>
            <w:pPr>
              <w:spacing w:after="0" w:line="252" w:lineRule="auto"/>
            </w:pPr>
            <w:r>
              <w:rPr>
                <w:rFonts w:ascii="Calibri" w:hAnsi="Calibri"/>
                <w:b w:val="0"/>
                <w:i w:val="0"/>
                <w:color w:val="111111"/>
                <w:sz w:val="16"/>
              </w:rPr>
              <w:t>Technical vs financial packaging</w:t>
            </w:r>
          </w:p>
        </w:tc>
        <w:tc>
          <w:tcPr>
            <w:tcW w:type="dxa" w:w="3760"/>
            <w:tcMar>
              <w:top w:w="80" w:type="dxa"/>
              <w:start w:w="120" w:type="dxa"/>
              <w:bottom w:w="80" w:type="dxa"/>
              <w:end w:w="120" w:type="dxa"/>
            </w:tcMar>
            <w:vAlign w:val="center"/>
          </w:tcPr>
          <w:p>
            <w:pPr>
              <w:spacing w:after="0" w:line="252" w:lineRule="auto"/>
            </w:pPr>
            <w:r>
              <w:rPr>
                <w:rFonts w:ascii="Calibri" w:hAnsi="Calibri"/>
                <w:b w:val="0"/>
                <w:i w:val="0"/>
                <w:color w:val="111111"/>
                <w:sz w:val="16"/>
              </w:rPr>
              <w:t>Section IX requires separate proposals, but the sealing instructions describe original/copy envelopes rather than separate technical/financial inner envelopes.</w:t>
            </w:r>
          </w:p>
        </w:tc>
        <w:tc>
          <w:tcPr>
            <w:tcW w:type="dxa" w:w="3700"/>
            <w:tcMar>
              <w:top w:w="80" w:type="dxa"/>
              <w:start w:w="120" w:type="dxa"/>
              <w:bottom w:w="80" w:type="dxa"/>
              <w:end w:w="120" w:type="dxa"/>
            </w:tcMar>
            <w:vAlign w:val="center"/>
          </w:tcPr>
          <w:p>
            <w:pPr>
              <w:spacing w:after="0" w:line="252" w:lineRule="auto"/>
            </w:pPr>
            <w:r>
              <w:rPr>
                <w:rFonts w:ascii="Calibri" w:hAnsi="Calibri"/>
                <w:b w:val="0"/>
                <w:i w:val="0"/>
                <w:color w:val="111111"/>
                <w:sz w:val="16"/>
              </w:rPr>
              <w:t>Request exact envelope hierarchy and whether price must be absent from every technical copy.</w:t>
            </w:r>
          </w:p>
        </w:tc>
      </w:tr>
      <w:tr>
        <w:trPr>
          <w:cantSplit/>
        </w:trPr>
        <w:tc>
          <w:tcPr>
            <w:tcW w:type="dxa" w:w="19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QCBS formula incomplete</w:t>
            </w:r>
          </w:p>
        </w:tc>
        <w:tc>
          <w:tcPr>
            <w:tcW w:type="dxa" w:w="37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Technical criteria total 100 points, but no technical-versus-financial weighting or financial scoring formula is stated; other clauses refer to lowest evaluated price.</w:t>
            </w:r>
          </w:p>
        </w:tc>
        <w:tc>
          <w:tcPr>
            <w:tcW w:type="dxa" w:w="37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Request the final QCBS combination formula and reconcile it with lowest-evaluated-bid language.</w:t>
            </w:r>
          </w:p>
        </w:tc>
      </w:tr>
      <w:tr>
        <w:trPr>
          <w:cantSplit/>
        </w:trPr>
        <w:tc>
          <w:tcPr>
            <w:tcW w:type="dxa" w:w="1900"/>
            <w:tcMar>
              <w:top w:w="80" w:type="dxa"/>
              <w:start w:w="120" w:type="dxa"/>
              <w:bottom w:w="80" w:type="dxa"/>
              <w:end w:w="120" w:type="dxa"/>
            </w:tcMar>
            <w:vAlign w:val="center"/>
          </w:tcPr>
          <w:p>
            <w:pPr>
              <w:spacing w:after="0" w:line="252" w:lineRule="auto"/>
            </w:pPr>
            <w:r>
              <w:rPr>
                <w:rFonts w:ascii="Calibri" w:hAnsi="Calibri"/>
                <w:b w:val="0"/>
                <w:i w:val="0"/>
                <w:color w:val="111111"/>
                <w:sz w:val="16"/>
              </w:rPr>
              <w:t>Technical subcriterion wording</w:t>
            </w:r>
          </w:p>
        </w:tc>
        <w:tc>
          <w:tcPr>
            <w:tcW w:type="dxa" w:w="3760"/>
            <w:tcMar>
              <w:top w:w="80" w:type="dxa"/>
              <w:start w:w="120" w:type="dxa"/>
              <w:bottom w:w="80" w:type="dxa"/>
              <w:end w:w="120" w:type="dxa"/>
            </w:tcMar>
            <w:vAlign w:val="center"/>
          </w:tcPr>
          <w:p>
            <w:pPr>
              <w:spacing w:after="0" w:line="252" w:lineRule="auto"/>
            </w:pPr>
            <w:r>
              <w:rPr>
                <w:rFonts w:ascii="Calibri" w:hAnsi="Calibri"/>
                <w:b w:val="0"/>
                <w:i w:val="0"/>
                <w:color w:val="111111"/>
                <w:sz w:val="16"/>
              </w:rPr>
              <w:t>The third subcriterion under each expert repeats qualifications/competence and is weighted 10%, without defining what differs from general qualification and assignment adequacy.</w:t>
            </w:r>
          </w:p>
        </w:tc>
        <w:tc>
          <w:tcPr>
            <w:tcW w:type="dxa" w:w="3700"/>
            <w:tcMar>
              <w:top w:w="80" w:type="dxa"/>
              <w:start w:w="120" w:type="dxa"/>
              <w:bottom w:w="80" w:type="dxa"/>
              <w:end w:w="120" w:type="dxa"/>
            </w:tcMar>
            <w:vAlign w:val="center"/>
          </w:tcPr>
          <w:p>
            <w:pPr>
              <w:spacing w:after="0" w:line="252" w:lineRule="auto"/>
            </w:pPr>
            <w:r>
              <w:rPr>
                <w:rFonts w:ascii="Calibri" w:hAnsi="Calibri"/>
                <w:b w:val="0"/>
                <w:i w:val="0"/>
                <w:color w:val="111111"/>
                <w:sz w:val="16"/>
              </w:rPr>
              <w:t>Ask whether it means regional experience, language, availability, transfer skills, or interview performance.</w:t>
            </w:r>
          </w:p>
        </w:tc>
      </w:tr>
      <w:tr>
        <w:trPr>
          <w:cantSplit/>
        </w:trPr>
        <w:tc>
          <w:tcPr>
            <w:tcW w:type="dxa" w:w="19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Concept design evaluation</w:t>
            </w:r>
          </w:p>
        </w:tc>
        <w:tc>
          <w:tcPr>
            <w:tcW w:type="dxa" w:w="37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A conceptual design is requested, while embedded reviewer comments say its score/requirement should be decided; the evaluation table assigns no design points.</w:t>
            </w:r>
          </w:p>
        </w:tc>
        <w:tc>
          <w:tcPr>
            <w:tcW w:type="dxa" w:w="37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Confirm required content, site information, level of detail, ownership and scoring.</w:t>
            </w:r>
          </w:p>
        </w:tc>
      </w:tr>
      <w:tr>
        <w:trPr>
          <w:cantSplit/>
        </w:trPr>
        <w:tc>
          <w:tcPr>
            <w:tcW w:type="dxa" w:w="1900"/>
            <w:tcMar>
              <w:top w:w="80" w:type="dxa"/>
              <w:start w:w="120" w:type="dxa"/>
              <w:bottom w:w="80" w:type="dxa"/>
              <w:end w:w="120" w:type="dxa"/>
            </w:tcMar>
            <w:vAlign w:val="center"/>
          </w:tcPr>
          <w:p>
            <w:pPr>
              <w:spacing w:after="0" w:line="252" w:lineRule="auto"/>
            </w:pPr>
            <w:r>
              <w:rPr>
                <w:rFonts w:ascii="Calibri" w:hAnsi="Calibri"/>
                <w:b w:val="0"/>
                <w:i w:val="0"/>
                <w:color w:val="111111"/>
                <w:sz w:val="16"/>
              </w:rPr>
              <w:t>Incomplete Bid Data Sheet text</w:t>
            </w:r>
          </w:p>
        </w:tc>
        <w:tc>
          <w:tcPr>
            <w:tcW w:type="dxa" w:w="3760"/>
            <w:tcMar>
              <w:top w:w="80" w:type="dxa"/>
              <w:start w:w="120" w:type="dxa"/>
              <w:bottom w:w="80" w:type="dxa"/>
              <w:end w:w="120" w:type="dxa"/>
            </w:tcMar>
            <w:vAlign w:val="center"/>
          </w:tcPr>
          <w:p>
            <w:pPr>
              <w:spacing w:after="0" w:line="252" w:lineRule="auto"/>
            </w:pPr>
            <w:r>
              <w:rPr>
                <w:rFonts w:ascii="Calibri" w:hAnsi="Calibri"/>
                <w:b w:val="0"/>
                <w:i w:val="0"/>
                <w:color w:val="111111"/>
                <w:sz w:val="16"/>
              </w:rPr>
              <w:t>Item 3 reads only 'Term of'. Several standard clauses have missing lettering or incomplete parameters.</w:t>
            </w:r>
          </w:p>
        </w:tc>
        <w:tc>
          <w:tcPr>
            <w:tcW w:type="dxa" w:w="3700"/>
            <w:tcMar>
              <w:top w:w="80" w:type="dxa"/>
              <w:start w:w="120" w:type="dxa"/>
              <w:bottom w:w="80" w:type="dxa"/>
              <w:end w:w="120" w:type="dxa"/>
            </w:tcMar>
            <w:vAlign w:val="center"/>
          </w:tcPr>
          <w:p>
            <w:pPr>
              <w:spacing w:after="0" w:line="252" w:lineRule="auto"/>
            </w:pPr>
            <w:r>
              <w:rPr>
                <w:rFonts w:ascii="Calibri" w:hAnsi="Calibri"/>
                <w:b w:val="0"/>
                <w:i w:val="0"/>
                <w:color w:val="111111"/>
                <w:sz w:val="16"/>
              </w:rPr>
              <w:t>Request a clean final RFP/addendum before submission.</w:t>
            </w:r>
          </w:p>
        </w:tc>
      </w:tr>
      <w:tr>
        <w:trPr>
          <w:cantSplit/>
        </w:trPr>
        <w:tc>
          <w:tcPr>
            <w:tcW w:type="dxa" w:w="19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Bid security details</w:t>
            </w:r>
          </w:p>
        </w:tc>
        <w:tc>
          <w:tcPr>
            <w:tcW w:type="dxa" w:w="37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Amount is stated, but no form, beneficiary wording, issuing-bank eligibility, validity cushion or return/forfeiture process is provided.</w:t>
            </w:r>
          </w:p>
        </w:tc>
        <w:tc>
          <w:tcPr>
            <w:tcW w:type="dxa" w:w="37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Request an approved form and exact validity period.</w:t>
            </w:r>
          </w:p>
        </w:tc>
      </w:tr>
      <w:tr>
        <w:trPr>
          <w:cantSplit/>
        </w:trPr>
        <w:tc>
          <w:tcPr>
            <w:tcW w:type="dxa" w:w="1900"/>
            <w:tcMar>
              <w:top w:w="80" w:type="dxa"/>
              <w:start w:w="120" w:type="dxa"/>
              <w:bottom w:w="80" w:type="dxa"/>
              <w:end w:w="120" w:type="dxa"/>
            </w:tcMar>
            <w:vAlign w:val="center"/>
          </w:tcPr>
          <w:p>
            <w:pPr>
              <w:spacing w:after="0" w:line="252" w:lineRule="auto"/>
            </w:pPr>
            <w:r>
              <w:rPr>
                <w:rFonts w:ascii="Calibri" w:hAnsi="Calibri"/>
                <w:b w:val="0"/>
                <w:i w:val="0"/>
                <w:color w:val="111111"/>
                <w:sz w:val="16"/>
              </w:rPr>
              <w:t>Contract conditions</w:t>
            </w:r>
          </w:p>
        </w:tc>
        <w:tc>
          <w:tcPr>
            <w:tcW w:type="dxa" w:w="3760"/>
            <w:tcMar>
              <w:top w:w="80" w:type="dxa"/>
              <w:start w:w="120" w:type="dxa"/>
              <w:bottom w:w="80" w:type="dxa"/>
              <w:end w:w="120" w:type="dxa"/>
            </w:tcMar>
            <w:vAlign w:val="center"/>
          </w:tcPr>
          <w:p>
            <w:pPr>
              <w:spacing w:after="0" w:line="252" w:lineRule="auto"/>
            </w:pPr>
            <w:r>
              <w:rPr>
                <w:rFonts w:ascii="Calibri" w:hAnsi="Calibri"/>
                <w:b w:val="0"/>
                <w:i w:val="0"/>
                <w:color w:val="111111"/>
                <w:sz w:val="16"/>
              </w:rPr>
              <w:t>The package gives duration, lump sum, payments, retention and independence but lacks a complete draft consultancy contract and detailed liability/insurance/IP/dispute terms.</w:t>
            </w:r>
          </w:p>
        </w:tc>
        <w:tc>
          <w:tcPr>
            <w:tcW w:type="dxa" w:w="3700"/>
            <w:tcMar>
              <w:top w:w="80" w:type="dxa"/>
              <w:start w:w="120" w:type="dxa"/>
              <w:bottom w:w="80" w:type="dxa"/>
              <w:end w:w="120" w:type="dxa"/>
            </w:tcMar>
            <w:vAlign w:val="center"/>
          </w:tcPr>
          <w:p>
            <w:pPr>
              <w:spacing w:after="0" w:line="252" w:lineRule="auto"/>
            </w:pPr>
            <w:r>
              <w:rPr>
                <w:rFonts w:ascii="Calibri" w:hAnsi="Calibri"/>
                <w:b w:val="0"/>
                <w:i w:val="0"/>
                <w:color w:val="111111"/>
                <w:sz w:val="16"/>
              </w:rPr>
              <w:t>Request the draft contract and conditions before pricing risk.</w:t>
            </w:r>
          </w:p>
        </w:tc>
      </w:tr>
      <w:tr>
        <w:trPr>
          <w:cantSplit/>
        </w:trPr>
        <w:tc>
          <w:tcPr>
            <w:tcW w:type="dxa" w:w="19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Scope baseline</w:t>
            </w:r>
          </w:p>
        </w:tc>
        <w:tc>
          <w:tcPr>
            <w:tcW w:type="dxa" w:w="37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No clear site brief, survey, geotechnical data, space programme, gross area, budget, ICT/security performance brief or applicable Liberian approval list is included.</w:t>
            </w:r>
          </w:p>
        </w:tc>
        <w:tc>
          <w:tcPr>
            <w:tcW w:type="dxa" w:w="37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Request data room/site visit and define assumptions/allowances.</w:t>
            </w:r>
          </w:p>
        </w:tc>
      </w:tr>
      <w:tr>
        <w:trPr>
          <w:cantSplit/>
        </w:trPr>
        <w:tc>
          <w:tcPr>
            <w:tcW w:type="dxa" w:w="1900"/>
            <w:tcMar>
              <w:top w:w="80" w:type="dxa"/>
              <w:start w:w="120" w:type="dxa"/>
              <w:bottom w:w="80" w:type="dxa"/>
              <w:end w:w="120" w:type="dxa"/>
            </w:tcMar>
            <w:vAlign w:val="center"/>
          </w:tcPr>
          <w:p>
            <w:pPr>
              <w:spacing w:after="0" w:line="252" w:lineRule="auto"/>
            </w:pPr>
            <w:r>
              <w:rPr>
                <w:rFonts w:ascii="Calibri" w:hAnsi="Calibri"/>
                <w:b w:val="0"/>
                <w:i w:val="0"/>
                <w:color w:val="111111"/>
                <w:sz w:val="16"/>
              </w:rPr>
              <w:t>Duration logic</w:t>
            </w:r>
          </w:p>
        </w:tc>
        <w:tc>
          <w:tcPr>
            <w:tcW w:type="dxa" w:w="3760"/>
            <w:tcMar>
              <w:top w:w="80" w:type="dxa"/>
              <w:start w:w="120" w:type="dxa"/>
              <w:bottom w:w="80" w:type="dxa"/>
              <w:end w:w="120" w:type="dxa"/>
            </w:tcMar>
            <w:vAlign w:val="center"/>
          </w:tcPr>
          <w:p>
            <w:pPr>
              <w:spacing w:after="0" w:line="252" w:lineRule="auto"/>
            </w:pPr>
            <w:r>
              <w:rPr>
                <w:rFonts w:ascii="Calibri" w:hAnsi="Calibri"/>
                <w:b w:val="0"/>
                <w:i w:val="0"/>
                <w:color w:val="111111"/>
                <w:sz w:val="16"/>
              </w:rPr>
              <w:t>The assignment maximum is 36 months and the DLP is 12 months; embedded comments question whether design plus construction requires 48 months.</w:t>
            </w:r>
          </w:p>
        </w:tc>
        <w:tc>
          <w:tcPr>
            <w:tcW w:type="dxa" w:w="3700"/>
            <w:tcMar>
              <w:top w:w="80" w:type="dxa"/>
              <w:start w:w="120" w:type="dxa"/>
              <w:bottom w:w="80" w:type="dxa"/>
              <w:end w:w="120" w:type="dxa"/>
            </w:tcMar>
            <w:vAlign w:val="center"/>
          </w:tcPr>
          <w:p>
            <w:pPr>
              <w:spacing w:after="0" w:line="252" w:lineRule="auto"/>
            </w:pPr>
            <w:r>
              <w:rPr>
                <w:rFonts w:ascii="Calibri" w:hAnsi="Calibri"/>
                <w:b w:val="0"/>
                <w:i w:val="0"/>
                <w:color w:val="111111"/>
                <w:sz w:val="16"/>
              </w:rPr>
              <w:t>Ask whether DLP is inside or outside the 36 months and how renewal/performance cycles apply.</w:t>
            </w:r>
          </w:p>
        </w:tc>
      </w:tr>
      <w:tr>
        <w:trPr>
          <w:cantSplit/>
        </w:trPr>
        <w:tc>
          <w:tcPr>
            <w:tcW w:type="dxa" w:w="19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Payment / retention</w:t>
            </w:r>
          </w:p>
        </w:tc>
        <w:tc>
          <w:tcPr>
            <w:tcW w:type="dxa" w:w="37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Payment percentages total 100%, while 10% retention applies to payments and is released after DLP; treatment of taxes and reimbursables is not defined.</w:t>
            </w:r>
          </w:p>
        </w:tc>
        <w:tc>
          <w:tcPr>
            <w:tcW w:type="dxa" w:w="37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Clarify retention mechanics, invoicing currency, withholding taxes, reimbursable caps and payment period.</w:t>
            </w:r>
          </w:p>
        </w:tc>
      </w:tr>
      <w:tr>
        <w:trPr>
          <w:cantSplit/>
        </w:trPr>
        <w:tc>
          <w:tcPr>
            <w:tcW w:type="dxa" w:w="1900"/>
            <w:tcMar>
              <w:top w:w="80" w:type="dxa"/>
              <w:start w:w="120" w:type="dxa"/>
              <w:bottom w:w="80" w:type="dxa"/>
              <w:end w:w="120" w:type="dxa"/>
            </w:tcMar>
            <w:vAlign w:val="center"/>
          </w:tcPr>
          <w:p>
            <w:pPr>
              <w:spacing w:after="0" w:line="252" w:lineRule="auto"/>
            </w:pPr>
            <w:r>
              <w:rPr>
                <w:rFonts w:ascii="Calibri" w:hAnsi="Calibri"/>
                <w:b w:val="0"/>
                <w:i w:val="0"/>
                <w:color w:val="111111"/>
                <w:sz w:val="16"/>
              </w:rPr>
              <w:t>Local participation</w:t>
            </w:r>
          </w:p>
        </w:tc>
        <w:tc>
          <w:tcPr>
            <w:tcW w:type="dxa" w:w="3760"/>
            <w:tcMar>
              <w:top w:w="80" w:type="dxa"/>
              <w:start w:w="120" w:type="dxa"/>
              <w:bottom w:w="80" w:type="dxa"/>
              <w:end w:w="120" w:type="dxa"/>
            </w:tcMar>
            <w:vAlign w:val="center"/>
          </w:tcPr>
          <w:p>
            <w:pPr>
              <w:spacing w:after="0" w:line="252" w:lineRule="auto"/>
            </w:pPr>
            <w:r>
              <w:rPr>
                <w:rFonts w:ascii="Calibri" w:hAnsi="Calibri"/>
                <w:b w:val="0"/>
                <w:i w:val="0"/>
                <w:color w:val="111111"/>
                <w:sz w:val="16"/>
              </w:rPr>
              <w:t>Three Liberian key experts are mandatory, while 50% Liberian ownership provides preference; the preference mechanism and points/margin are not stated.</w:t>
            </w:r>
          </w:p>
        </w:tc>
        <w:tc>
          <w:tcPr>
            <w:tcW w:type="dxa" w:w="3700"/>
            <w:tcMar>
              <w:top w:w="80" w:type="dxa"/>
              <w:start w:w="120" w:type="dxa"/>
              <w:bottom w:w="80" w:type="dxa"/>
              <w:end w:w="120" w:type="dxa"/>
            </w:tcMar>
            <w:vAlign w:val="center"/>
          </w:tcPr>
          <w:p>
            <w:pPr>
              <w:spacing w:after="0" w:line="252" w:lineRule="auto"/>
            </w:pPr>
            <w:r>
              <w:rPr>
                <w:rFonts w:ascii="Calibri" w:hAnsi="Calibri"/>
                <w:b w:val="0"/>
                <w:i w:val="0"/>
                <w:color w:val="111111"/>
                <w:sz w:val="16"/>
              </w:rPr>
              <w:t>Ask how preference is evaluated and what evidence proves nationality, employment and ownership.</w:t>
            </w:r>
          </w:p>
        </w:tc>
      </w:tr>
      <w:tr>
        <w:trPr>
          <w:cantSplit/>
        </w:trPr>
        <w:tc>
          <w:tcPr>
            <w:tcW w:type="dxa" w:w="19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Professional licensing</w:t>
            </w:r>
          </w:p>
        </w:tc>
        <w:tc>
          <w:tcPr>
            <w:tcW w:type="dxa" w:w="37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The RFP requests registrations but does not state whether foreign designs must be stamped by Liberian-licensed professionals.</w:t>
            </w:r>
          </w:p>
        </w:tc>
        <w:tc>
          <w:tcPr>
            <w:tcW w:type="dxa" w:w="37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6"/>
              </w:rPr>
              <w:t>Confirm local licensing, permits and professional-indemnity requirements.</w:t>
            </w:r>
          </w:p>
        </w:tc>
      </w:tr>
    </w:tbl>
    <w:p>
      <w:pPr>
        <w:spacing w:before="0" w:after="40" w:line="300" w:lineRule="auto"/>
      </w:pPr>
    </w:p>
    <w:p>
      <w:pPr>
        <w:pStyle w:val="Heading1"/>
        <w:keepNext/>
      </w:pPr>
      <w:r>
        <w:t>8. Suggested clarification questions to send before bidding</w:t>
      </w:r>
    </w:p>
    <w:p>
      <w:pPr>
        <w:spacing w:before="0" w:after="100" w:line="300" w:lineRule="auto"/>
        <w:numPr>
          <w:ilvl w:val="0"/>
          <w:numId w:val="11"/>
        </w:numPr>
      </w:pPr>
      <w:r>
        <w:rPr>
          <w:rFonts w:ascii="Calibri" w:hAnsi="Calibri"/>
          <w:b w:val="0"/>
          <w:i w:val="0"/>
          <w:color w:val="111111"/>
          <w:sz w:val="22"/>
        </w:rPr>
        <w:t>Please confirm whether the correct solicitation reference is CBL/RFP/09/2026 or CBL/RFP/08/2026.</w:t>
      </w:r>
    </w:p>
    <w:p>
      <w:pPr>
        <w:spacing w:before="0" w:after="100" w:line="300" w:lineRule="auto"/>
        <w:numPr>
          <w:ilvl w:val="0"/>
          <w:numId w:val="11"/>
        </w:numPr>
      </w:pPr>
      <w:r>
        <w:rPr>
          <w:rFonts w:ascii="Calibri" w:hAnsi="Calibri"/>
          <w:b w:val="0"/>
          <w:i w:val="0"/>
          <w:color w:val="111111"/>
          <w:sz w:val="22"/>
        </w:rPr>
        <w:t>Please confirm the controlling submission method and the exact packaging of technical and financial originals/copies.</w:t>
      </w:r>
    </w:p>
    <w:p>
      <w:pPr>
        <w:spacing w:before="0" w:after="100" w:line="300" w:lineRule="auto"/>
        <w:numPr>
          <w:ilvl w:val="0"/>
          <w:numId w:val="11"/>
        </w:numPr>
      </w:pPr>
      <w:r>
        <w:rPr>
          <w:rFonts w:ascii="Calibri" w:hAnsi="Calibri"/>
          <w:b w:val="0"/>
          <w:i w:val="0"/>
          <w:color w:val="111111"/>
          <w:sz w:val="22"/>
        </w:rPr>
        <w:t>Please provide the final QCBS technical/financial weights, financial-score formula and expert subcriterion definitions.</w:t>
      </w:r>
    </w:p>
    <w:p>
      <w:pPr>
        <w:spacing w:before="0" w:after="100" w:line="300" w:lineRule="auto"/>
        <w:numPr>
          <w:ilvl w:val="0"/>
          <w:numId w:val="11"/>
        </w:numPr>
      </w:pPr>
      <w:r>
        <w:rPr>
          <w:rFonts w:ascii="Calibri" w:hAnsi="Calibri"/>
          <w:b w:val="0"/>
          <w:i w:val="0"/>
          <w:color w:val="111111"/>
          <w:sz w:val="22"/>
        </w:rPr>
        <w:t>Please confirm the required conceptual-design deliverables, evaluation points, available site/brief information and intellectual-property treatment.</w:t>
      </w:r>
    </w:p>
    <w:p>
      <w:pPr>
        <w:spacing w:before="0" w:after="100" w:line="300" w:lineRule="auto"/>
        <w:numPr>
          <w:ilvl w:val="0"/>
          <w:numId w:val="11"/>
        </w:numPr>
      </w:pPr>
      <w:r>
        <w:rPr>
          <w:rFonts w:ascii="Calibri" w:hAnsi="Calibri"/>
          <w:b w:val="0"/>
          <w:i w:val="0"/>
          <w:color w:val="111111"/>
          <w:sz w:val="22"/>
        </w:rPr>
        <w:t>Please provide the prescribed bid-security form, beneficiary wording, acceptable issuers and required expiry date.</w:t>
      </w:r>
    </w:p>
    <w:p>
      <w:pPr>
        <w:spacing w:before="0" w:after="100" w:line="300" w:lineRule="auto"/>
        <w:numPr>
          <w:ilvl w:val="0"/>
          <w:numId w:val="11"/>
        </w:numPr>
      </w:pPr>
      <w:r>
        <w:rPr>
          <w:rFonts w:ascii="Calibri" w:hAnsi="Calibri"/>
          <w:b w:val="0"/>
          <w:i w:val="0"/>
          <w:color w:val="111111"/>
          <w:sz w:val="22"/>
        </w:rPr>
        <w:t>Please confirm whether the 12-month DLP is included within the 36-month assignment period.</w:t>
      </w:r>
    </w:p>
    <w:p>
      <w:pPr>
        <w:spacing w:before="0" w:after="100" w:line="300" w:lineRule="auto"/>
        <w:numPr>
          <w:ilvl w:val="0"/>
          <w:numId w:val="11"/>
        </w:numPr>
      </w:pPr>
      <w:r>
        <w:rPr>
          <w:rFonts w:ascii="Calibri" w:hAnsi="Calibri"/>
          <w:b w:val="0"/>
          <w:i w:val="0"/>
          <w:color w:val="111111"/>
          <w:sz w:val="22"/>
        </w:rPr>
        <w:t>Please provide the draft consultancy contract, including insurance, liability, IP, confidentiality, governing law, dispute resolution and payment timing.</w:t>
      </w:r>
    </w:p>
    <w:p>
      <w:pPr>
        <w:spacing w:before="0" w:after="100" w:line="300" w:lineRule="auto"/>
        <w:numPr>
          <w:ilvl w:val="0"/>
          <w:numId w:val="11"/>
        </w:numPr>
      </w:pPr>
      <w:r>
        <w:rPr>
          <w:rFonts w:ascii="Calibri" w:hAnsi="Calibri"/>
          <w:b w:val="0"/>
          <w:i w:val="0"/>
          <w:color w:val="111111"/>
          <w:sz w:val="22"/>
        </w:rPr>
        <w:t>Please confirm which key experts or other personnel must be full-time at CBL in each phase and the minimum person-month inputs.</w:t>
      </w:r>
    </w:p>
    <w:p>
      <w:pPr>
        <w:spacing w:before="0" w:after="100" w:line="300" w:lineRule="auto"/>
        <w:numPr>
          <w:ilvl w:val="0"/>
          <w:numId w:val="11"/>
        </w:numPr>
      </w:pPr>
      <w:r>
        <w:rPr>
          <w:rFonts w:ascii="Calibri" w:hAnsi="Calibri"/>
          <w:b w:val="0"/>
          <w:i w:val="0"/>
          <w:color w:val="111111"/>
          <w:sz w:val="22"/>
        </w:rPr>
        <w:t>Please explain how the 50% Liberian-ownership preference will be scored or applied and which documents prove compliance.</w:t>
      </w:r>
    </w:p>
    <w:p>
      <w:pPr>
        <w:spacing w:before="0" w:after="100" w:line="300" w:lineRule="auto"/>
        <w:numPr>
          <w:ilvl w:val="0"/>
          <w:numId w:val="11"/>
        </w:numPr>
      </w:pPr>
      <w:r>
        <w:rPr>
          <w:rFonts w:ascii="Calibri" w:hAnsi="Calibri"/>
          <w:b w:val="0"/>
          <w:i w:val="0"/>
          <w:color w:val="111111"/>
          <w:sz w:val="22"/>
        </w:rPr>
        <w:t>Please confirm applicable professional-registration/stamping requirements and whether foreign credentials require recognition in Liberia.</w:t>
      </w:r>
    </w:p>
    <w:p>
      <w:pPr>
        <w:spacing w:before="0" w:after="100" w:line="300" w:lineRule="auto"/>
        <w:numPr>
          <w:ilvl w:val="0"/>
          <w:numId w:val="11"/>
        </w:numPr>
      </w:pPr>
      <w:r>
        <w:rPr>
          <w:rFonts w:ascii="Calibri" w:hAnsi="Calibri"/>
          <w:b w:val="0"/>
          <w:i w:val="0"/>
          <w:color w:val="111111"/>
          <w:sz w:val="22"/>
        </w:rPr>
        <w:t>Please provide available surveys, geotechnical/site information, accommodation schedule, project construction budget and ICT/security performance requirements.</w:t>
      </w:r>
    </w:p>
    <w:p>
      <w:pPr>
        <w:spacing w:before="0" w:after="100" w:line="300" w:lineRule="auto"/>
        <w:numPr>
          <w:ilvl w:val="0"/>
          <w:numId w:val="11"/>
        </w:numPr>
      </w:pPr>
      <w:r>
        <w:rPr>
          <w:rFonts w:ascii="Calibri" w:hAnsi="Calibri"/>
          <w:b w:val="0"/>
          <w:i w:val="0"/>
          <w:color w:val="111111"/>
          <w:sz w:val="22"/>
        </w:rPr>
        <w:t>Please confirm tax treatment, withholding, reimbursable rules and how the 10% retention is deducted and released.</w:t>
      </w:r>
    </w:p>
    <w:p>
      <w:pPr>
        <w:pStyle w:val="Heading1"/>
        <w:keepNext/>
      </w:pPr>
      <w:r>
        <w:t>9. AI-assisted bid preparation: classroom controls</w:t>
      </w:r>
    </w:p>
    <w:p>
      <w:pPr>
        <w:spacing w:before="0" w:after="120" w:line="300" w:lineRule="auto"/>
      </w:pPr>
      <w:r>
        <w:rPr>
          <w:rFonts w:ascii="Calibri" w:hAnsi="Calibri"/>
          <w:b w:val="0"/>
          <w:i w:val="0"/>
          <w:color w:val="111111"/>
          <w:sz w:val="22"/>
        </w:rPr>
        <w:t>AI can accelerate extraction, drafting, consistency checking and scenario development. It cannot create evidence. Teach students to separate drafting support from factual substantiation.</w:t>
      </w:r>
    </w:p>
    <w:tbl>
      <w:tblPr>
        <w:tblStyle w:val="TableGrid"/>
        <w:tblW w:type="dxa" w:w="9360"/>
        <w:jc w:val="left"/>
        <w:tblLayout w:type="fixed"/>
        <w:tblLook w:firstColumn="1" w:firstRow="1" w:lastColumn="0" w:lastRow="0" w:noHBand="0" w:noVBand="1" w:val="04A0"/>
        <w:tblInd w:w="120" w:type="dxa"/>
      </w:tblPr>
      <w:tblGrid>
        <w:gridCol w:w="1900"/>
        <w:gridCol w:w="3200"/>
        <w:gridCol w:w="4260"/>
      </w:tblGrid>
      <w:tr>
        <w:trPr>
          <w:tblHeader w:val="true"/>
          <w:cantSplit/>
        </w:trPr>
        <w:tc>
          <w:tcPr>
            <w:tcW w:type="dxa" w:w="1900"/>
            <w:shd w:fill="18324A"/>
            <w:tcMar>
              <w:top w:w="80" w:type="dxa"/>
              <w:start w:w="120" w:type="dxa"/>
              <w:bottom w:w="80" w:type="dxa"/>
              <w:end w:w="120" w:type="dxa"/>
            </w:tcMar>
            <w:vAlign w:val="center"/>
          </w:tcPr>
          <w:p>
            <w:pPr>
              <w:spacing w:after="0"/>
              <w:jc w:val="center"/>
            </w:pPr>
            <w:r>
              <w:rPr>
                <w:rFonts w:ascii="Calibri" w:hAnsi="Calibri"/>
                <w:b/>
                <w:i w:val="0"/>
                <w:color w:val="FFFFFF"/>
                <w:sz w:val="17"/>
              </w:rPr>
              <w:t>AI task</w:t>
            </w:r>
          </w:p>
        </w:tc>
        <w:tc>
          <w:tcPr>
            <w:tcW w:type="dxa" w:w="3200"/>
            <w:shd w:fill="18324A"/>
            <w:tcMar>
              <w:top w:w="80" w:type="dxa"/>
              <w:start w:w="120" w:type="dxa"/>
              <w:bottom w:w="80" w:type="dxa"/>
              <w:end w:w="120" w:type="dxa"/>
            </w:tcMar>
            <w:vAlign w:val="center"/>
          </w:tcPr>
          <w:p>
            <w:pPr>
              <w:spacing w:after="0"/>
              <w:jc w:val="center"/>
            </w:pPr>
            <w:r>
              <w:rPr>
                <w:rFonts w:ascii="Calibri" w:hAnsi="Calibri"/>
                <w:b/>
                <w:i w:val="0"/>
                <w:color w:val="FFFFFF"/>
                <w:sz w:val="17"/>
              </w:rPr>
              <w:t>Useful output</w:t>
            </w:r>
          </w:p>
        </w:tc>
        <w:tc>
          <w:tcPr>
            <w:tcW w:type="dxa" w:w="4260"/>
            <w:shd w:fill="18324A"/>
            <w:tcMar>
              <w:top w:w="80" w:type="dxa"/>
              <w:start w:w="120" w:type="dxa"/>
              <w:bottom w:w="80" w:type="dxa"/>
              <w:end w:w="120" w:type="dxa"/>
            </w:tcMar>
            <w:vAlign w:val="center"/>
          </w:tcPr>
          <w:p>
            <w:pPr>
              <w:spacing w:after="0"/>
              <w:jc w:val="center"/>
            </w:pPr>
            <w:r>
              <w:rPr>
                <w:rFonts w:ascii="Calibri" w:hAnsi="Calibri"/>
                <w:b/>
                <w:i w:val="0"/>
                <w:color w:val="FFFFFF"/>
                <w:sz w:val="17"/>
              </w:rPr>
              <w:t>Mandatory human control</w:t>
            </w:r>
          </w:p>
        </w:tc>
      </w:tr>
      <w:tr>
        <w:trPr>
          <w:cantSplit/>
        </w:trPr>
        <w:tc>
          <w:tcPr>
            <w:tcW w:type="dxa" w:w="1900"/>
            <w:tcMar>
              <w:top w:w="80" w:type="dxa"/>
              <w:start w:w="120" w:type="dxa"/>
              <w:bottom w:w="80" w:type="dxa"/>
              <w:end w:w="120" w:type="dxa"/>
            </w:tcMar>
            <w:vAlign w:val="center"/>
          </w:tcPr>
          <w:p>
            <w:pPr>
              <w:spacing w:after="0" w:line="252" w:lineRule="auto"/>
            </w:pPr>
            <w:r>
              <w:rPr>
                <w:rFonts w:ascii="Calibri" w:hAnsi="Calibri"/>
                <w:b w:val="0"/>
                <w:i w:val="0"/>
                <w:color w:val="111111"/>
                <w:sz w:val="17"/>
              </w:rPr>
              <w:t>RFP extraction</w:t>
            </w:r>
          </w:p>
        </w:tc>
        <w:tc>
          <w:tcPr>
            <w:tcW w:type="dxa" w:w="3200"/>
            <w:tcMar>
              <w:top w:w="80" w:type="dxa"/>
              <w:start w:w="120" w:type="dxa"/>
              <w:bottom w:w="80" w:type="dxa"/>
              <w:end w:w="120" w:type="dxa"/>
            </w:tcMar>
            <w:vAlign w:val="center"/>
          </w:tcPr>
          <w:p>
            <w:pPr>
              <w:spacing w:after="0" w:line="252" w:lineRule="auto"/>
            </w:pPr>
            <w:r>
              <w:rPr>
                <w:rFonts w:ascii="Calibri" w:hAnsi="Calibri"/>
                <w:b w:val="0"/>
                <w:i w:val="0"/>
                <w:color w:val="111111"/>
                <w:sz w:val="17"/>
              </w:rPr>
              <w:t>Compliance matrix and requirement register</w:t>
            </w:r>
          </w:p>
        </w:tc>
        <w:tc>
          <w:tcPr>
            <w:tcW w:type="dxa" w:w="4260"/>
            <w:tcMar>
              <w:top w:w="80" w:type="dxa"/>
              <w:start w:w="120" w:type="dxa"/>
              <w:bottom w:w="80" w:type="dxa"/>
              <w:end w:w="120" w:type="dxa"/>
            </w:tcMar>
            <w:vAlign w:val="center"/>
          </w:tcPr>
          <w:p>
            <w:pPr>
              <w:spacing w:after="0" w:line="252" w:lineRule="auto"/>
            </w:pPr>
            <w:r>
              <w:rPr>
                <w:rFonts w:ascii="Calibri" w:hAnsi="Calibri"/>
                <w:b w:val="0"/>
                <w:i w:val="0"/>
                <w:color w:val="111111"/>
                <w:sz w:val="17"/>
              </w:rPr>
              <w:t>Check every item against the source and add section/page references</w:t>
            </w:r>
          </w:p>
        </w:tc>
      </w:tr>
      <w:tr>
        <w:trPr>
          <w:cantSplit/>
        </w:trPr>
        <w:tc>
          <w:tcPr>
            <w:tcW w:type="dxa" w:w="19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7"/>
              </w:rPr>
              <w:t>CV tailoring</w:t>
            </w:r>
          </w:p>
        </w:tc>
        <w:tc>
          <w:tcPr>
            <w:tcW w:type="dxa" w:w="32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7"/>
              </w:rPr>
              <w:t>Role-specific summary and project selection</w:t>
            </w:r>
          </w:p>
        </w:tc>
        <w:tc>
          <w:tcPr>
            <w:tcW w:type="dxa" w:w="42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7"/>
              </w:rPr>
              <w:t>Expert verifies truth, signs CV and provides evidence</w:t>
            </w:r>
          </w:p>
        </w:tc>
      </w:tr>
      <w:tr>
        <w:trPr>
          <w:cantSplit/>
        </w:trPr>
        <w:tc>
          <w:tcPr>
            <w:tcW w:type="dxa" w:w="1900"/>
            <w:tcMar>
              <w:top w:w="80" w:type="dxa"/>
              <w:start w:w="120" w:type="dxa"/>
              <w:bottom w:w="80" w:type="dxa"/>
              <w:end w:w="120" w:type="dxa"/>
            </w:tcMar>
            <w:vAlign w:val="center"/>
          </w:tcPr>
          <w:p>
            <w:pPr>
              <w:spacing w:after="0" w:line="252" w:lineRule="auto"/>
            </w:pPr>
            <w:r>
              <w:rPr>
                <w:rFonts w:ascii="Calibri" w:hAnsi="Calibri"/>
                <w:b w:val="0"/>
                <w:i w:val="0"/>
                <w:color w:val="111111"/>
                <w:sz w:val="17"/>
              </w:rPr>
              <w:t>Methodology drafting</w:t>
            </w:r>
          </w:p>
        </w:tc>
        <w:tc>
          <w:tcPr>
            <w:tcW w:type="dxa" w:w="3200"/>
            <w:tcMar>
              <w:top w:w="80" w:type="dxa"/>
              <w:start w:w="120" w:type="dxa"/>
              <w:bottom w:w="80" w:type="dxa"/>
              <w:end w:w="120" w:type="dxa"/>
            </w:tcMar>
            <w:vAlign w:val="center"/>
          </w:tcPr>
          <w:p>
            <w:pPr>
              <w:spacing w:after="0" w:line="252" w:lineRule="auto"/>
            </w:pPr>
            <w:r>
              <w:rPr>
                <w:rFonts w:ascii="Calibri" w:hAnsi="Calibri"/>
                <w:b w:val="0"/>
                <w:i w:val="0"/>
                <w:color w:val="111111"/>
                <w:sz w:val="17"/>
              </w:rPr>
              <w:t>Structured workstream narrative</w:t>
            </w:r>
          </w:p>
        </w:tc>
        <w:tc>
          <w:tcPr>
            <w:tcW w:type="dxa" w:w="4260"/>
            <w:tcMar>
              <w:top w:w="80" w:type="dxa"/>
              <w:start w:w="120" w:type="dxa"/>
              <w:bottom w:w="80" w:type="dxa"/>
              <w:end w:w="120" w:type="dxa"/>
            </w:tcMar>
            <w:vAlign w:val="center"/>
          </w:tcPr>
          <w:p>
            <w:pPr>
              <w:spacing w:after="0" w:line="252" w:lineRule="auto"/>
            </w:pPr>
            <w:r>
              <w:rPr>
                <w:rFonts w:ascii="Calibri" w:hAnsi="Calibri"/>
                <w:b w:val="0"/>
                <w:i w:val="0"/>
                <w:color w:val="111111"/>
                <w:sz w:val="17"/>
              </w:rPr>
              <w:t>Technical leads validate feasibility, standards, person-months and interfaces</w:t>
            </w:r>
          </w:p>
        </w:tc>
      </w:tr>
      <w:tr>
        <w:trPr>
          <w:cantSplit/>
        </w:trPr>
        <w:tc>
          <w:tcPr>
            <w:tcW w:type="dxa" w:w="19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7"/>
              </w:rPr>
              <w:t>Schedule / staffing</w:t>
            </w:r>
          </w:p>
        </w:tc>
        <w:tc>
          <w:tcPr>
            <w:tcW w:type="dxa" w:w="32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7"/>
              </w:rPr>
              <w:t>Initial phase logic and resource model</w:t>
            </w:r>
          </w:p>
        </w:tc>
        <w:tc>
          <w:tcPr>
            <w:tcW w:type="dxa" w:w="42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7"/>
              </w:rPr>
              <w:t>Planner reconciles dates, dependencies, full-time presence and price</w:t>
            </w:r>
          </w:p>
        </w:tc>
      </w:tr>
      <w:tr>
        <w:trPr>
          <w:cantSplit/>
        </w:trPr>
        <w:tc>
          <w:tcPr>
            <w:tcW w:type="dxa" w:w="1900"/>
            <w:tcMar>
              <w:top w:w="80" w:type="dxa"/>
              <w:start w:w="120" w:type="dxa"/>
              <w:bottom w:w="80" w:type="dxa"/>
              <w:end w:w="120" w:type="dxa"/>
            </w:tcMar>
            <w:vAlign w:val="center"/>
          </w:tcPr>
          <w:p>
            <w:pPr>
              <w:spacing w:after="0" w:line="252" w:lineRule="auto"/>
            </w:pPr>
            <w:r>
              <w:rPr>
                <w:rFonts w:ascii="Calibri" w:hAnsi="Calibri"/>
                <w:b w:val="0"/>
                <w:i w:val="0"/>
                <w:color w:val="111111"/>
                <w:sz w:val="17"/>
              </w:rPr>
              <w:t>Risk review</w:t>
            </w:r>
          </w:p>
        </w:tc>
        <w:tc>
          <w:tcPr>
            <w:tcW w:type="dxa" w:w="3200"/>
            <w:tcMar>
              <w:top w:w="80" w:type="dxa"/>
              <w:start w:w="120" w:type="dxa"/>
              <w:bottom w:w="80" w:type="dxa"/>
              <w:end w:w="120" w:type="dxa"/>
            </w:tcMar>
            <w:vAlign w:val="center"/>
          </w:tcPr>
          <w:p>
            <w:pPr>
              <w:spacing w:after="0" w:line="252" w:lineRule="auto"/>
            </w:pPr>
            <w:r>
              <w:rPr>
                <w:rFonts w:ascii="Calibri" w:hAnsi="Calibri"/>
                <w:b w:val="0"/>
                <w:i w:val="0"/>
                <w:color w:val="111111"/>
                <w:sz w:val="17"/>
              </w:rPr>
              <w:t>Risk register and clarification list</w:t>
            </w:r>
          </w:p>
        </w:tc>
        <w:tc>
          <w:tcPr>
            <w:tcW w:type="dxa" w:w="4260"/>
            <w:tcMar>
              <w:top w:w="80" w:type="dxa"/>
              <w:start w:w="120" w:type="dxa"/>
              <w:bottom w:w="80" w:type="dxa"/>
              <w:end w:w="120" w:type="dxa"/>
            </w:tcMar>
            <w:vAlign w:val="center"/>
          </w:tcPr>
          <w:p>
            <w:pPr>
              <w:spacing w:after="0" w:line="252" w:lineRule="auto"/>
            </w:pPr>
            <w:r>
              <w:rPr>
                <w:rFonts w:ascii="Calibri" w:hAnsi="Calibri"/>
                <w:b w:val="0"/>
                <w:i w:val="0"/>
                <w:color w:val="111111"/>
                <w:sz w:val="17"/>
              </w:rPr>
              <w:t>Bid manager and legal/technical leads assess materiality and decide assumptions</w:t>
            </w:r>
          </w:p>
        </w:tc>
      </w:tr>
      <w:tr>
        <w:trPr>
          <w:cantSplit/>
        </w:trPr>
        <w:tc>
          <w:tcPr>
            <w:tcW w:type="dxa" w:w="19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7"/>
              </w:rPr>
              <w:t>Red-team review</w:t>
            </w:r>
          </w:p>
        </w:tc>
        <w:tc>
          <w:tcPr>
            <w:tcW w:type="dxa" w:w="320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7"/>
              </w:rPr>
              <w:t>Inconsistency and omission flags</w:t>
            </w:r>
          </w:p>
        </w:tc>
        <w:tc>
          <w:tcPr>
            <w:tcW w:type="dxa" w:w="4260"/>
            <w:shd w:fill="F8FAFC"/>
            <w:tcMar>
              <w:top w:w="80" w:type="dxa"/>
              <w:start w:w="120" w:type="dxa"/>
              <w:bottom w:w="80" w:type="dxa"/>
              <w:end w:w="120" w:type="dxa"/>
            </w:tcMar>
            <w:vAlign w:val="center"/>
          </w:tcPr>
          <w:p>
            <w:pPr>
              <w:spacing w:after="0" w:line="252" w:lineRule="auto"/>
            </w:pPr>
            <w:r>
              <w:rPr>
                <w:rFonts w:ascii="Calibri" w:hAnsi="Calibri"/>
                <w:b w:val="0"/>
                <w:i w:val="0"/>
                <w:color w:val="111111"/>
                <w:sz w:val="17"/>
              </w:rPr>
              <w:t>Authorized signatory owns final completeness and accuracy</w:t>
            </w:r>
          </w:p>
        </w:tc>
      </w:tr>
    </w:tbl>
    <w:p>
      <w:pPr>
        <w:spacing w:before="0" w:after="40" w:line="300" w:lineRule="auto"/>
      </w:pPr>
    </w:p>
    <w:tbl>
      <w:tblPr>
        <w:tblW w:type="dxa" w:w="9360"/>
        <w:jc w:val="left"/>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vAlign w:val="center"/>
            <w:shd w:fill="FFF0F0"/>
          </w:tcPr>
          <w:p>
            <w:pPr>
              <w:spacing w:after="40"/>
            </w:pPr>
            <w:r>
              <w:rPr>
                <w:rFonts w:ascii="Calibri" w:hAnsi="Calibri"/>
                <w:b/>
                <w:i w:val="0"/>
                <w:color w:val="9B1C1C"/>
                <w:sz w:val="22"/>
              </w:rPr>
              <w:t xml:space="preserve">Never let AI invent: </w:t>
            </w:r>
            <w:r>
              <w:rPr>
                <w:rFonts w:ascii="Calibri" w:hAnsi="Calibri"/>
                <w:b w:val="0"/>
                <w:i w:val="0"/>
                <w:color w:val="111111"/>
                <w:sz w:val="22"/>
              </w:rPr>
              <w:t>Actual staff, degrees, registrations, certificates, client references, contract values, project experience, audited accounts, signatures, bid securities or legal declarations. Fiction is acceptable only when it is unmistakably labelled as a classroom scenario, as in this annex.</w:t>
            </w:r>
          </w:p>
        </w:tc>
      </w:tr>
    </w:tbl>
    <w:p>
      <w:pPr>
        <w:spacing w:before="0" w:after="40" w:line="300" w:lineRule="auto"/>
      </w:pPr>
    </w:p>
    <w:p>
      <w:pPr>
        <w:pStyle w:val="Heading1"/>
        <w:keepNext/>
      </w:pPr>
      <w:r>
        <w:t>10. Source basis and limitations</w:t>
      </w:r>
    </w:p>
    <w:p>
      <w:pPr>
        <w:spacing w:before="0" w:after="120" w:line="300" w:lineRule="auto"/>
      </w:pPr>
      <w:r>
        <w:rPr>
          <w:rFonts w:ascii="Calibri" w:hAnsi="Calibri"/>
          <w:b w:val="0"/>
          <w:i w:val="0"/>
          <w:color w:val="111111"/>
          <w:sz w:val="22"/>
        </w:rPr>
        <w:t>This annex was prepared from the supplied 32-page RFP PDF. The principal source locations are the Bid Data Sheet and evaluation criteria (approximately PDF pages 13-15), Terms of Reference and scope (approximately pages 16-26), firm/key-personnel and local-content requirements (approximately pages 26-29), and deliverables/proposal/financial requirements (approximately pages 30-32). Embedded reviewer comments visible in the supplied RFP indicate that parts of the solicitation may still be under development.</w:t>
      </w:r>
    </w:p>
    <w:p>
      <w:pPr>
        <w:spacing w:before="0" w:after="120" w:line="300" w:lineRule="auto"/>
      </w:pPr>
      <w:r>
        <w:rPr>
          <w:rFonts w:ascii="Calibri" w:hAnsi="Calibri"/>
          <w:b w:val="0"/>
          <w:i/>
          <w:color w:val="5B6570"/>
          <w:sz w:val="22"/>
        </w:rPr>
        <w:t>This is a training aid, not legal advice and not a ready-to-submit bid. Dates, requirements and procurement instructions must be reconfirmed against the final issued RFP and all addenda.</w:t>
      </w:r>
    </w:p>
    <w:sectPr w:rsidR="00FC693F" w:rsidRPr="0006063C" w:rsidSect="00034616">
      <w:headerReference w:type="default" r:id="rId9"/>
      <w:footerReference w:type="default" r:id="rId10"/>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Calibri" w:hAnsi="Calibri"/>
        <w:b w:val="0"/>
        <w:i w:val="0"/>
        <w:color w:val="5B6570"/>
        <w:sz w:val="16"/>
      </w:rPr>
      <w:t>Training use only - verify every claim before a real procurement submission</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Calibri" w:hAnsi="Calibri"/>
        <w:b/>
        <w:i w:val="0"/>
        <w:color w:val="5B6570"/>
        <w:sz w:val="16"/>
      </w:rPr>
      <w:t>LIB-PSS BID TRAINING ANNEX  |  FICTIONAL DATA</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multiLevelType w:val="singleLevel"/>
    <w:lvl w:ilvl="0">
      <w:start w:val="1"/>
      <w:numFmt w:val="bullet"/>
      <w:lvlText w:val="•"/>
      <w:lvlJc w:val="left"/>
      <w:pPr>
        <w:tabs>
          <w:tab w:val="num" w:pos="540"/>
        </w:tabs>
        <w:ind w:left="540" w:hanging="270"/>
      </w:pPr>
      <w:rPr>
        <w:rFonts w:ascii="Calibri" w:hAnsi="Calibri"/>
      </w:rPr>
    </w:lvl>
  </w:abstractNum>
  <w:num w:numId="10">
    <w:abstractNumId w:val="9"/>
  </w:num>
  <w:abstractNum w:abstractNumId="10">
    <w:multiLevelType w:val="singleLevel"/>
    <w:lvl w:ilvl="0">
      <w:start w:val="1"/>
      <w:numFmt w:val="decimal"/>
      <w:lvlText w:val="%1."/>
      <w:lvlJc w:val="left"/>
      <w:pPr>
        <w:tabs>
          <w:tab w:val="num" w:pos="720"/>
        </w:tabs>
        <w:ind w:left="720" w:hanging="360"/>
      </w:pPr>
      <w:rPr>
        <w:rFonts w:ascii="Calibri" w:hAnsi="Calibri"/>
      </w:rPr>
    </w:lvl>
  </w:abstract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300"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outlineLvl w:val="0"/>
    </w:pPr>
    <w:rPr>
      <w:rFonts w:asciiTheme="majorHAnsi" w:eastAsiaTheme="majorEastAsia" w:hAnsiTheme="majorHAnsi" w:cstheme="majorBidi" w:ascii="Calibri" w:hAnsi="Calibri"/>
      <w:b/>
      <w:bCs/>
      <w:color w:val="2E74B5"/>
      <w:sz w:val="32"/>
      <w:szCs w:val="28"/>
    </w:rPr>
  </w:style>
  <w:style w:type="paragraph" w:styleId="Heading2">
    <w:name w:val="heading 2"/>
    <w:basedOn w:val="Normal"/>
    <w:next w:val="Normal"/>
    <w:link w:val="Heading2Char"/>
    <w:uiPriority w:val="9"/>
    <w:unhideWhenUsed/>
    <w:qFormat/>
    <w:rsid w:val="00FC693F"/>
    <w:pPr>
      <w:keepNext/>
      <w:keepLines/>
      <w:spacing w:before="280" w:after="140"/>
      <w:outlineLvl w:val="1"/>
    </w:pPr>
    <w:rPr>
      <w:rFonts w:asciiTheme="majorHAnsi" w:eastAsiaTheme="majorEastAsia" w:hAnsiTheme="majorHAnsi" w:cstheme="majorBidi" w:ascii="Calibri" w:hAnsi="Calibri"/>
      <w:b/>
      <w:bCs/>
      <w:color w:val="2E74B5"/>
      <w:sz w:val="26"/>
      <w:szCs w:val="26"/>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Calibri" w:hAnsi="Calibri"/>
      <w:b/>
      <w:bCs/>
      <w:color w:val="1F4D78"/>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Fictional Bid Team, CVs and Compliance Gap Review - LIB-PSS</dc:title>
  <dc:subject>Procurement training annex based on the supplied CBL RFP</dc:subject>
  <dc:creator>ETC Training Resource</dc:creator>
  <cp:keywords>RFP, bid, CV, key experts, Liberia, Lebanon, AI training</cp:keywords>
  <dc:description>generated by python-docx</dc:description>
  <cp:lastModifiedBy/>
  <cp:revision>1</cp:revision>
  <dcterms:created xsi:type="dcterms:W3CDTF">2013-12-23T23:15:00Z</dcterms:created>
  <dcterms:modified xsi:type="dcterms:W3CDTF">2013-12-23T23:15:00Z</dcterms:modified>
  <cp:category/>
</cp:coreProperties>
</file>